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5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1B2A" w:sz="1"/>
              <w:left w:val="single" w:color="0D1B2A" w:sz="1"/>
              <w:bottom w:val="single" w:color="0D1B2A" w:sz="1"/>
              <w:right w:val="single" w:color="0D1B2A" w:sz="1"/>
            </w:tcBorders>
            <w:shd w:fill="0D1B2A" w:val="clear"/>
            <w:tcMar>
              <w:top w:type="dxa" w:w="400"/>
              <w:left w:type="dxa" w:w="360"/>
              <w:bottom w:type="dxa" w:w="400"/>
              <w:right w:type="dxa" w:w="360"/>
            </w:tcMar>
          </w:tcPr>
          <w:p>
            <w:pPr>
              <w:spacing w:after="20"/>
            </w:pPr>
            <w:r>
              <w:rPr>
                <w:rFonts w:ascii="Arial" w:cs="Arial" w:eastAsia="Arial" w:hAnsi="Arial"/>
                <w:b/>
                <w:bCs/>
                <w:color w:val="93C5FD"/>
                <w:sz w:val="80"/>
                <w:szCs w:val="80"/>
              </w:rPr>
              <w:t xml:space="preserve">2026</w:t>
            </w:r>
          </w:p>
          <w:p>
            <w:pPr>
              <w:spacing w:after="0"/>
            </w:pPr>
            <w:r>
              <w:rPr>
                <w:rFonts w:ascii="Arial" w:cs="Arial" w:eastAsia="Arial" w:hAnsi="Arial"/>
                <w:b/>
                <w:bCs/>
                <w:color w:val="FFFFFF"/>
                <w:sz w:val="52"/>
                <w:szCs w:val="52"/>
              </w:rPr>
              <w:t xml:space="preserve">Shadow AI State of</w:t>
            </w:r>
          </w:p>
          <w:p>
            <w:pPr>
              <w:spacing w:after="60"/>
            </w:pPr>
            <w:r>
              <w:rPr>
                <w:rFonts w:ascii="Arial" w:cs="Arial" w:eastAsia="Arial" w:hAnsi="Arial"/>
                <w:b/>
                <w:bCs/>
                <w:color w:val="FFFFFF"/>
                <w:sz w:val="52"/>
                <w:szCs w:val="52"/>
              </w:rPr>
              <w:t xml:space="preserve">the Workplace Report</w:t>
            </w:r>
          </w:p>
          <w:p>
            <w:pPr>
              <w:spacing w:after="160"/>
            </w:pPr>
            <w:r>
              <w:rPr>
                <w:rFonts w:ascii="Arial" w:cs="Arial" w:eastAsia="Arial" w:hAnsi="Arial"/>
                <w:i/>
                <w:iCs/>
                <w:color w:val="94A3B8"/>
                <w:sz w:val="22"/>
                <w:szCs w:val="22"/>
              </w:rPr>
              <w:t xml:space="preserve">The definitive data briefing on unauthorized AI in the enterprise  -  adoption, risk, cost, and the MSP opportunity</w:t>
            </w:r>
          </w:p>
          <w:p>
            <w:r>
              <w:rPr>
                <w:rFonts w:ascii="Arial" w:cs="Arial" w:eastAsia="Arial" w:hAnsi="Arial"/>
                <w:color w:val="CBD5E1"/>
                <w:sz w:val="19"/>
                <w:szCs w:val="19"/>
              </w:rPr>
              <w:t xml:space="preserve">Published June 2026  </w:t>
            </w:r>
            <w:r>
              <w:rPr>
                <w:rFonts w:ascii="Arial" w:cs="Arial" w:eastAsia="Arial" w:hAnsi="Arial"/>
                <w:color w:val="475569"/>
                <w:sz w:val="19"/>
                <w:szCs w:val="19"/>
              </w:rPr>
              <w:t xml:space="preserve"> |  </w:t>
            </w:r>
            <w:r>
              <w:rPr>
                <w:rFonts w:ascii="Arial" w:cs="Arial" w:eastAsia="Arial" w:hAnsi="Arial"/>
                <w:color w:val="93C5FD"/>
                <w:sz w:val="19"/>
                <w:szCs w:val="19"/>
              </w:rPr>
              <w:t xml:space="preserve">  shadowaiguide.com  </w:t>
            </w:r>
            <w:r>
              <w:rPr>
                <w:rFonts w:ascii="Arial" w:cs="Arial" w:eastAsia="Arial" w:hAnsi="Arial"/>
                <w:color w:val="475569"/>
                <w:sz w:val="19"/>
                <w:szCs w:val="19"/>
              </w:rPr>
              <w:t xml:space="preserve"> |  </w:t>
            </w:r>
            <w:r>
              <w:rPr>
                <w:rFonts w:ascii="Arial" w:cs="Arial" w:eastAsia="Arial" w:hAnsi="Arial"/>
                <w:color w:val="94A3B8"/>
                <w:sz w:val="18"/>
                <w:szCs w:val="18"/>
              </w:rPr>
              <w:t xml:space="preserve">  Sources: Microsoft, IBM, Cisco, Gartner, Palo Alto Networks, UpGuard, Reco AI, Netskope &amp; more</w:t>
            </w:r>
          </w:p>
        </w:tc>
      </w:tr>
    </w:tbl>
    <w:p>
      <w:pPr>
        <w:spacing w:after="6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1" w:sz="1"/>
              <w:left w:val="single" w:color="CBD5E1" w:sz="1"/>
              <w:bottom w:val="single" w:color="CBD5E1" w:sz="1"/>
              <w:right w:val="single" w:color="CBD5E1" w:sz="1"/>
            </w:tcBorders>
            <w:shd w:fill="F1F5F9" w:val="clear"/>
            <w:tcMar>
              <w:top w:type="dxa" w:w="160"/>
              <w:left w:type="dxa" w:w="180"/>
              <w:bottom w:type="dxa" w:w="160"/>
              <w:right w:type="dxa" w:w="160"/>
            </w:tcMar>
          </w:tcPr>
          <w:p>
            <w:pPr>
              <w:spacing w:after="40"/>
            </w:pPr>
            <w:r>
              <w:rPr>
                <w:rFonts w:ascii="Arial" w:cs="Arial" w:eastAsia="Arial" w:hAnsi="Arial"/>
                <w:b/>
                <w:bCs/>
                <w:color w:val="1B4F8A"/>
                <w:sz w:val="48"/>
                <w:szCs w:val="48"/>
              </w:rPr>
              <w:t xml:space="preserve">98%</w:t>
            </w:r>
          </w:p>
          <w:p>
            <w:pPr>
              <w:spacing w:after="40"/>
            </w:pPr>
            <w:r>
              <w:rPr>
                <w:rFonts w:ascii="Arial" w:cs="Arial" w:eastAsia="Arial" w:hAnsi="Arial"/>
                <w:color w:val="374151"/>
                <w:sz w:val="19"/>
                <w:szCs w:val="19"/>
              </w:rPr>
              <w:t xml:space="preserve">of organizations have employees using unsanctioned AI tools</w:t>
            </w:r>
          </w:p>
          <w:p>
            <w:r>
              <w:rPr>
                <w:rFonts w:ascii="Arial" w:cs="Arial" w:eastAsia="Arial" w:hAnsi="Arial"/>
                <w:i/>
                <w:iCs/>
                <w:color w:val="6B7280"/>
                <w:sz w:val="16"/>
                <w:szCs w:val="16"/>
              </w:rPr>
              <w:t xml:space="preserve">Reco AI, 2026</w:t>
            </w:r>
          </w:p>
        </w:tc>
        <w:tc>
          <w:tcPr>
            <w:tcW w:type="dxa" w:w="3120"/>
            <w:tcBorders>
              <w:top w:val="single" w:color="CBD5E1" w:sz="1"/>
              <w:left w:val="single" w:color="CBD5E1" w:sz="1"/>
              <w:bottom w:val="single" w:color="CBD5E1" w:sz="1"/>
              <w:right w:val="single" w:color="CBD5E1" w:sz="1"/>
            </w:tcBorders>
            <w:shd w:fill="F1F5F9" w:val="clear"/>
            <w:tcMar>
              <w:top w:type="dxa" w:w="160"/>
              <w:left w:type="dxa" w:w="180"/>
              <w:bottom w:type="dxa" w:w="160"/>
              <w:right w:type="dxa" w:w="160"/>
            </w:tcMar>
          </w:tcPr>
          <w:p>
            <w:pPr>
              <w:spacing w:after="40"/>
            </w:pPr>
            <w:r>
              <w:rPr>
                <w:rFonts w:ascii="Arial" w:cs="Arial" w:eastAsia="Arial" w:hAnsi="Arial"/>
                <w:b/>
                <w:bCs/>
                <w:color w:val="1B4F8A"/>
                <w:sz w:val="48"/>
                <w:szCs w:val="48"/>
              </w:rPr>
              <w:t xml:space="preserve">$4.63M</w:t>
            </w:r>
          </w:p>
          <w:p>
            <w:pPr>
              <w:spacing w:after="40"/>
            </w:pPr>
            <w:r>
              <w:rPr>
                <w:rFonts w:ascii="Arial" w:cs="Arial" w:eastAsia="Arial" w:hAnsi="Arial"/>
                <w:color w:val="374151"/>
                <w:sz w:val="19"/>
                <w:szCs w:val="19"/>
              </w:rPr>
              <w:t xml:space="preserve">average cost of a breach when Shadow AI is involved</w:t>
            </w:r>
          </w:p>
          <w:p>
            <w:r>
              <w:rPr>
                <w:rFonts w:ascii="Arial" w:cs="Arial" w:eastAsia="Arial" w:hAnsi="Arial"/>
                <w:i/>
                <w:iCs/>
                <w:color w:val="6B7280"/>
                <w:sz w:val="16"/>
                <w:szCs w:val="16"/>
              </w:rPr>
              <w:t xml:space="preserve">IBM, 2025</w:t>
            </w:r>
          </w:p>
        </w:tc>
        <w:tc>
          <w:tcPr>
            <w:tcW w:type="dxa" w:w="3120"/>
            <w:tcBorders>
              <w:top w:val="single" w:color="CBD5E1" w:sz="1"/>
              <w:left w:val="single" w:color="CBD5E1" w:sz="1"/>
              <w:bottom w:val="single" w:color="CBD5E1" w:sz="1"/>
              <w:right w:val="single" w:color="CBD5E1" w:sz="1"/>
            </w:tcBorders>
            <w:shd w:fill="F1F5F9" w:val="clear"/>
            <w:tcMar>
              <w:top w:type="dxa" w:w="160"/>
              <w:left w:type="dxa" w:w="180"/>
              <w:bottom w:type="dxa" w:w="160"/>
              <w:right w:type="dxa" w:w="160"/>
            </w:tcMar>
          </w:tcPr>
          <w:p>
            <w:pPr>
              <w:spacing w:after="40"/>
            </w:pPr>
            <w:r>
              <w:rPr>
                <w:rFonts w:ascii="Arial" w:cs="Arial" w:eastAsia="Arial" w:hAnsi="Arial"/>
                <w:b/>
                <w:bCs/>
                <w:color w:val="1B4F8A"/>
                <w:sz w:val="48"/>
                <w:szCs w:val="48"/>
              </w:rPr>
              <w:t xml:space="preserve">247</w:t>
            </w:r>
          </w:p>
          <w:p>
            <w:pPr>
              <w:spacing w:after="40"/>
            </w:pPr>
            <w:r>
              <w:rPr>
                <w:rFonts w:ascii="Arial" w:cs="Arial" w:eastAsia="Arial" w:hAnsi="Arial"/>
                <w:color w:val="374151"/>
                <w:sz w:val="19"/>
                <w:szCs w:val="19"/>
              </w:rPr>
              <w:t xml:space="preserve">days on average to detect a Shadow AI breach</w:t>
            </w:r>
          </w:p>
          <w:p>
            <w:r>
              <w:rPr>
                <w:rFonts w:ascii="Arial" w:cs="Arial" w:eastAsia="Arial" w:hAnsi="Arial"/>
                <w:i/>
                <w:iCs/>
                <w:color w:val="6B7280"/>
                <w:sz w:val="16"/>
                <w:szCs w:val="16"/>
              </w:rPr>
              <w:t xml:space="preserve">IBM / Vectra AI, 2026</w:t>
            </w:r>
          </w:p>
        </w:tc>
      </w:tr>
    </w:tbl>
    <w:p>
      <w:pPr>
        <w:spacing w:after="6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1" w:sz="1"/>
              <w:left w:val="single" w:color="CBD5E1" w:sz="1"/>
              <w:bottom w:val="single" w:color="CBD5E1" w:sz="1"/>
              <w:right w:val="single" w:color="CBD5E1" w:sz="1"/>
            </w:tcBorders>
            <w:shd w:fill="F1F5F9" w:val="clear"/>
            <w:tcMar>
              <w:top w:type="dxa" w:w="160"/>
              <w:left w:type="dxa" w:w="180"/>
              <w:bottom w:type="dxa" w:w="160"/>
              <w:right w:type="dxa" w:w="160"/>
            </w:tcMar>
          </w:tcPr>
          <w:p>
            <w:pPr>
              <w:spacing w:after="40"/>
            </w:pPr>
            <w:r>
              <w:rPr>
                <w:rFonts w:ascii="Arial" w:cs="Arial" w:eastAsia="Arial" w:hAnsi="Arial"/>
                <w:b/>
                <w:bCs/>
                <w:color w:val="1B4F8A"/>
                <w:sz w:val="48"/>
                <w:szCs w:val="48"/>
              </w:rPr>
              <w:t xml:space="preserve">63%</w:t>
            </w:r>
          </w:p>
          <w:p>
            <w:pPr>
              <w:spacing w:after="40"/>
            </w:pPr>
            <w:r>
              <w:rPr>
                <w:rFonts w:ascii="Arial" w:cs="Arial" w:eastAsia="Arial" w:hAnsi="Arial"/>
                <w:color w:val="374151"/>
                <w:sz w:val="19"/>
                <w:szCs w:val="19"/>
              </w:rPr>
              <w:t xml:space="preserve">of organizations lack a complete AI governance policy</w:t>
            </w:r>
          </w:p>
          <w:p>
            <w:r>
              <w:rPr>
                <w:rFonts w:ascii="Arial" w:cs="Arial" w:eastAsia="Arial" w:hAnsi="Arial"/>
                <w:i/>
                <w:iCs/>
                <w:color w:val="6B7280"/>
                <w:sz w:val="16"/>
                <w:szCs w:val="16"/>
              </w:rPr>
              <w:t xml:space="preserve">IBM, 2025</w:t>
            </w:r>
          </w:p>
        </w:tc>
        <w:tc>
          <w:tcPr>
            <w:tcW w:type="dxa" w:w="3120"/>
            <w:tcBorders>
              <w:top w:val="single" w:color="CBD5E1" w:sz="1"/>
              <w:left w:val="single" w:color="CBD5E1" w:sz="1"/>
              <w:bottom w:val="single" w:color="CBD5E1" w:sz="1"/>
              <w:right w:val="single" w:color="CBD5E1" w:sz="1"/>
            </w:tcBorders>
            <w:shd w:fill="F1F5F9" w:val="clear"/>
            <w:tcMar>
              <w:top w:type="dxa" w:w="160"/>
              <w:left w:type="dxa" w:w="180"/>
              <w:bottom w:type="dxa" w:w="160"/>
              <w:right w:type="dxa" w:w="160"/>
            </w:tcMar>
          </w:tcPr>
          <w:p>
            <w:pPr>
              <w:spacing w:after="40"/>
            </w:pPr>
            <w:r>
              <w:rPr>
                <w:rFonts w:ascii="Arial" w:cs="Arial" w:eastAsia="Arial" w:hAnsi="Arial"/>
                <w:b/>
                <w:bCs/>
                <w:color w:val="1B4F8A"/>
                <w:sz w:val="48"/>
                <w:szCs w:val="48"/>
              </w:rPr>
              <w:t xml:space="preserve">1,550</w:t>
            </w:r>
          </w:p>
          <w:p>
            <w:pPr>
              <w:spacing w:after="40"/>
            </w:pPr>
            <w:r>
              <w:rPr>
                <w:rFonts w:ascii="Arial" w:cs="Arial" w:eastAsia="Arial" w:hAnsi="Arial"/>
                <w:color w:val="374151"/>
                <w:sz w:val="19"/>
                <w:szCs w:val="19"/>
              </w:rPr>
              <w:t xml:space="preserve">distinct GenAI SaaS apps now running in the average enterprise</w:t>
            </w:r>
          </w:p>
          <w:p>
            <w:r>
              <w:rPr>
                <w:rFonts w:ascii="Arial" w:cs="Arial" w:eastAsia="Arial" w:hAnsi="Arial"/>
                <w:i/>
                <w:iCs/>
                <w:color w:val="6B7280"/>
                <w:sz w:val="16"/>
                <w:szCs w:val="16"/>
              </w:rPr>
              <w:t xml:space="preserve">Netskope, 2026</w:t>
            </w:r>
          </w:p>
        </w:tc>
        <w:tc>
          <w:tcPr>
            <w:tcW w:type="dxa" w:w="3120"/>
            <w:tcBorders>
              <w:top w:val="single" w:color="CBD5E1" w:sz="1"/>
              <w:left w:val="single" w:color="CBD5E1" w:sz="1"/>
              <w:bottom w:val="single" w:color="CBD5E1" w:sz="1"/>
              <w:right w:val="single" w:color="CBD5E1" w:sz="1"/>
            </w:tcBorders>
            <w:shd w:fill="F1F5F9" w:val="clear"/>
            <w:tcMar>
              <w:top w:type="dxa" w:w="160"/>
              <w:left w:type="dxa" w:w="180"/>
              <w:bottom w:type="dxa" w:w="160"/>
              <w:right w:type="dxa" w:w="160"/>
            </w:tcMar>
          </w:tcPr>
          <w:p>
            <w:pPr>
              <w:spacing w:after="40"/>
            </w:pPr>
            <w:r>
              <w:rPr>
                <w:rFonts w:ascii="Arial" w:cs="Arial" w:eastAsia="Arial" w:hAnsi="Arial"/>
                <w:b/>
                <w:bCs/>
                <w:color w:val="1B4F8A"/>
                <w:sz w:val="48"/>
                <w:szCs w:val="48"/>
              </w:rPr>
              <w:t xml:space="preserve">89%</w:t>
            </w:r>
          </w:p>
          <w:p>
            <w:pPr>
              <w:spacing w:after="40"/>
            </w:pPr>
            <w:r>
              <w:rPr>
                <w:rFonts w:ascii="Arial" w:cs="Arial" w:eastAsia="Arial" w:hAnsi="Arial"/>
                <w:color w:val="374151"/>
                <w:sz w:val="19"/>
                <w:szCs w:val="19"/>
              </w:rPr>
              <w:t xml:space="preserve">drop in unauthorized AI use when approved alternatives are given</w:t>
            </w:r>
          </w:p>
          <w:p>
            <w:r>
              <w:rPr>
                <w:rFonts w:ascii="Arial" w:cs="Arial" w:eastAsia="Arial" w:hAnsi="Arial"/>
                <w:i/>
                <w:iCs/>
                <w:color w:val="6B7280"/>
                <w:sz w:val="16"/>
                <w:szCs w:val="16"/>
              </w:rPr>
              <w:t xml:space="preserve">Healthcare Brew, 2026</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1B2A" w:sz="1"/>
              <w:left w:val="single" w:color="0D1B2A" w:sz="1"/>
              <w:bottom w:val="single" w:color="0D1B2A" w:sz="1"/>
              <w:right w:val="single" w:color="0D1B2A" w:sz="1"/>
            </w:tcBorders>
            <w:shd w:fill="0D1B2A" w:val="clear"/>
            <w:tcMar>
              <w:top w:type="dxa" w:w="160"/>
              <w:left w:type="dxa" w:w="240"/>
              <w:bottom w:type="dxa" w:w="160"/>
              <w:right w:type="dxa" w:w="240"/>
            </w:tcMar>
          </w:tcPr>
          <w:p>
            <w:pPr>
              <w:spacing w:after="20"/>
            </w:pPr>
            <w:r>
              <w:rPr>
                <w:rFonts w:ascii="Arial" w:cs="Arial" w:eastAsia="Arial" w:hAnsi="Arial"/>
                <w:b/>
                <w:bCs/>
                <w:color w:val="93C5FD"/>
                <w:sz w:val="18"/>
                <w:szCs w:val="18"/>
              </w:rPr>
              <w:t xml:space="preserve">EXECUTIVE SUMMARY</w:t>
            </w:r>
          </w:p>
          <w:p>
            <w:pPr>
              <w:spacing w:after="16"/>
            </w:pPr>
            <w:r>
              <w:rPr>
                <w:rFonts w:ascii="Arial" w:cs="Arial" w:eastAsia="Arial" w:hAnsi="Arial"/>
                <w:b/>
                <w:bCs/>
                <w:color w:val="FFFFFF"/>
                <w:sz w:val="32"/>
                <w:szCs w:val="32"/>
              </w:rPr>
              <w:t xml:space="preserve">The Shadow AI Crisis is No Longer Emerging  -  It Has Arrived</w:t>
            </w:r>
          </w:p>
          <w:p>
            <w:r>
              <w:rPr>
                <w:rFonts w:ascii="Arial" w:cs="Arial" w:eastAsia="Arial" w:hAnsi="Arial"/>
                <w:i/>
                <w:iCs/>
                <w:color w:val="94A3B8"/>
                <w:sz w:val="19"/>
                <w:szCs w:val="19"/>
              </w:rPr>
              <w:t xml:space="preserve">Key findings from 40+ data sources covering adoption, risk, cost, compliance, and the MSP opportunity</w:t>
            </w:r>
          </w:p>
        </w:tc>
      </w:tr>
    </w:tbl>
    <w:p>
      <w:pPr>
        <w:spacing w:after="60" w:before="120"/>
      </w:pPr>
      <w:r>
        <w:t xml:space="preserve"/>
      </w:r>
    </w:p>
    <w:p>
      <w:pPr>
        <w:spacing w:after="100"/>
      </w:pPr>
      <w:r>
        <w:rPr>
          <w:rFonts w:ascii="Arial" w:cs="Arial" w:eastAsia="Arial" w:hAnsi="Arial"/>
          <w:color w:val="374151"/>
          <w:sz w:val="21"/>
          <w:szCs w:val="21"/>
        </w:rPr>
        <w:t xml:space="preserve">Shadow AI  -  the use of artificial intelligence tools by employees without IT or security team knowledge or approval  -  has crossed a threshold in 2026. It is no longer an emerging risk or a future concern. It is the most prevalent unauthorized technology behavior in enterprise history, running at scale in virtually every organization, largely invisible to the teams responsible for governing it.</w:t>
      </w:r>
    </w:p>
    <w:p>
      <w:pPr>
        <w:spacing w:after="100"/>
      </w:pPr>
      <w:r>
        <w:rPr>
          <w:rFonts w:ascii="Arial" w:cs="Arial" w:eastAsia="Arial" w:hAnsi="Arial"/>
          <w:color w:val="374151"/>
          <w:sz w:val="21"/>
          <w:szCs w:val="21"/>
        </w:rPr>
        <w:t xml:space="preserve">This report compiles 40 statistics from primary sources including Microsoft, IBM, Cisco, Gartner, Palo Alto Networks, UpGuard, Reco AI, Netskope, CrowdStrike, Salesforce, and others. It identifies the six dominant trends reshaping workplace AI risk, the eight highest-consequence threat categories, and fourteen specific recommendations for Managed Service Providers serving clients who face this risk today.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single" w:color="1B4F8A" w:sz="1"/>
              <w:left w:val="single" w:color="1B4F8A" w:sz="1"/>
              <w:bottom w:val="single" w:color="1B4F8A" w:sz="1"/>
              <w:right w:val="single" w:color="1B4F8A" w:sz="1"/>
            </w:tcBorders>
            <w:shd w:fill="1B4F8A" w:val="clear"/>
            <w:tcMar>
              <w:top w:type="dxa" w:w="0"/>
              <w:left w:type="dxa" w:w="0"/>
              <w:bottom w:type="dxa" w:w="0"/>
              <w:right w:type="dxa" w:w="0"/>
            </w:tcMar>
          </w:tcPr>
          <w:p>
            <w:r>
              <w:rPr>
                <w:rFonts w:ascii="Arial" w:cs="Arial" w:eastAsia="Arial" w:hAnsi="Arial"/>
              </w:rPr>
              <w:t xml:space="preserve"/>
            </w:r>
          </w:p>
        </w:tc>
        <w:tc>
          <w:tcPr>
            <w:tcW w:type="dxa" w:w="9120"/>
            <w:tcBorders>
              <w:top w:val="single" w:color="CBD5E1" w:sz="1"/>
              <w:left w:val="single" w:color="CBD5E1" w:sz="1"/>
              <w:bottom w:val="single" w:color="CBD5E1" w:sz="1"/>
              <w:right w:val="single" w:color="CBD5E1" w:sz="1"/>
            </w:tcBorders>
            <w:shd w:fill="F1F5F9" w:val="clear"/>
            <w:tcMar>
              <w:top w:type="dxa" w:w="140"/>
              <w:left w:type="dxa" w:w="200"/>
              <w:bottom w:type="dxa" w:w="140"/>
              <w:right w:type="dxa" w:w="180"/>
            </w:tcMar>
          </w:tcPr>
          <w:p>
            <w:pPr>
              <w:spacing w:after="60"/>
            </w:pPr>
            <w:r>
              <w:rPr>
                <w:rFonts w:ascii="Arial" w:cs="Arial" w:eastAsia="Arial" w:hAnsi="Arial"/>
                <w:i/>
                <w:iCs/>
                <w:color w:val="0D1B2A"/>
                <w:sz w:val="21"/>
                <w:szCs w:val="21"/>
              </w:rPr>
              <w:t xml:space="preserve">Shadow AI mirrors the rise of Shadow IT a decade ago, but with far higher stakes. AI tools now handle proprietary algorithms, confidential data, and strategic decision-making  -  making the potential for harm exponentially greater.</w:t>
            </w:r>
          </w:p>
          <w:p>
            <w:r>
              <w:rPr>
                <w:rFonts w:ascii="Arial" w:cs="Arial" w:eastAsia="Arial" w:hAnsi="Arial"/>
                <w:b/>
                <w:bCs/>
                <w:color w:val="1B4F8A"/>
                <w:sz w:val="18"/>
                <w:szCs w:val="18"/>
              </w:rPr>
              <w:t xml:space="preserve"> -  IBM Cost of a Data Breach Report, 2025</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1B2A" w:sz="1"/>
              <w:left w:val="single" w:color="0D1B2A" w:sz="1"/>
              <w:bottom w:val="single" w:color="0D1B2A" w:sz="1"/>
              <w:right w:val="single" w:color="0D1B2A" w:sz="1"/>
            </w:tcBorders>
            <w:shd w:fill="0D1B2A" w:val="clear"/>
            <w:tcMar>
              <w:top w:type="dxa" w:w="160"/>
              <w:left w:type="dxa" w:w="240"/>
              <w:bottom w:type="dxa" w:w="160"/>
              <w:right w:type="dxa" w:w="240"/>
            </w:tcMar>
          </w:tcPr>
          <w:p>
            <w:pPr>
              <w:spacing w:after="20"/>
            </w:pPr>
            <w:r>
              <w:rPr>
                <w:rFonts w:ascii="Arial" w:cs="Arial" w:eastAsia="Arial" w:hAnsi="Arial"/>
                <w:b/>
                <w:bCs/>
                <w:color w:val="93C5FD"/>
                <w:sz w:val="18"/>
                <w:szCs w:val="18"/>
              </w:rPr>
              <w:t xml:space="preserve">SECTION 1  OF  4</w:t>
            </w:r>
          </w:p>
          <w:p>
            <w:pPr>
              <w:spacing w:after="16"/>
            </w:pPr>
            <w:r>
              <w:rPr>
                <w:rFonts w:ascii="Arial" w:cs="Arial" w:eastAsia="Arial" w:hAnsi="Arial"/>
                <w:b/>
                <w:bCs/>
                <w:color w:val="FFFFFF"/>
                <w:sz w:val="32"/>
                <w:szCs w:val="32"/>
              </w:rPr>
              <w:t xml:space="preserve">The Numbers: 40 Statistics That Define the Shadow AI Crisis</w:t>
            </w:r>
          </w:p>
          <w:p>
            <w:r>
              <w:rPr>
                <w:rFonts w:ascii="Arial" w:cs="Arial" w:eastAsia="Arial" w:hAnsi="Arial"/>
                <w:i/>
                <w:iCs/>
                <w:color w:val="94A3B8"/>
                <w:sz w:val="19"/>
                <w:szCs w:val="19"/>
              </w:rPr>
              <w:t xml:space="preserve">Primary-sourced data covering adoption, exposure, breach costs, governance gaps, and compliance risk</w:t>
            </w:r>
          </w:p>
        </w:tc>
      </w:tr>
    </w:tbl>
    <w:p>
      <w:pPr>
        <w:spacing w:after="60" w:before="120"/>
      </w:pPr>
      <w:r>
        <w:t xml:space="preserve"/>
      </w:r>
    </w:p>
    <w:p>
      <w:pPr>
        <w:spacing w:after="80" w:before="60"/>
      </w:pPr>
      <w:r>
        <w:rPr>
          <w:rFonts w:ascii="Arial" w:cs="Arial" w:eastAsia="Arial" w:hAnsi="Arial"/>
          <w:b/>
          <w:bCs/>
          <w:color w:val="1B4F8A"/>
          <w:sz w:val="24"/>
          <w:szCs w:val="24"/>
        </w:rPr>
        <w:t xml:space="preserve">1.1  Adoption &amp; Prevalence</w:t>
      </w:r>
    </w:p>
    <w:p>
      <w:pPr>
        <w:pBdr>
          <w:bottom w:val="single" w:color="1B4F8A" w:sz="8"/>
        </w:pBdr>
        <w:spacing w:after="40" w:before="40"/>
      </w:pPr>
      <w:r>
        <w:rPr>
          <w:rFonts w:ascii="Arial" w:cs="Arial" w:eastAsia="Arial" w:hAnsi="Arial"/>
        </w:rPr>
        <w:t xml:space="preserve"/>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5880"/>
        <w:gridCol w:w="3000"/>
      </w:tblGrid>
      <w:tr>
        <w:tc>
          <w:tcPr>
            <w:tcW w:type="dxa" w:w="480"/>
            <w:tcBorders>
              <w:top w:val="single" w:color="0D1B2A" w:sz="1"/>
              <w:left w:val="single" w:color="0D1B2A" w:sz="1"/>
              <w:bottom w:val="single" w:color="0D1B2A" w:sz="1"/>
              <w:right w:val="single" w:color="0D1B2A" w:sz="1"/>
            </w:tcBorders>
            <w:shd w:fill="0D1B2A" w:val="clear"/>
            <w:tcMar>
              <w:top w:type="dxa" w:w="80"/>
              <w:left w:type="dxa" w:w="80"/>
              <w:bottom w:type="dxa" w:w="80"/>
              <w:right w:type="dxa" w:w="60"/>
            </w:tcMar>
          </w:tcPr>
          <w:p>
            <w:pPr>
              <w:jc w:val="center"/>
            </w:pPr>
            <w:r>
              <w:rPr>
                <w:rFonts w:ascii="Arial" w:cs="Arial" w:eastAsia="Arial" w:hAnsi="Arial"/>
                <w:b/>
                <w:bCs/>
                <w:color w:val="FFFFFF"/>
                <w:sz w:val="18"/>
                <w:szCs w:val="18"/>
              </w:rPr>
              <w:t xml:space="preserve">#</w:t>
            </w:r>
          </w:p>
        </w:tc>
        <w:tc>
          <w:tcPr>
            <w:tcW w:type="dxa" w:w="5880"/>
            <w:tcBorders>
              <w:top w:val="single" w:color="0D1B2A" w:sz="1"/>
              <w:left w:val="single" w:color="0D1B2A" w:sz="1"/>
              <w:bottom w:val="single" w:color="0D1B2A" w:sz="1"/>
              <w:right w:val="single" w:color="0D1B2A" w:sz="1"/>
            </w:tcBorders>
            <w:shd w:fill="0D1B2A" w:val="clear"/>
            <w:tcMar>
              <w:top w:type="dxa" w:w="80"/>
              <w:left w:type="dxa" w:w="140"/>
              <w:bottom w:type="dxa" w:w="80"/>
              <w:right w:type="dxa" w:w="80"/>
            </w:tcMar>
          </w:tcPr>
          <w:p>
            <w:r>
              <w:rPr>
                <w:rFonts w:ascii="Arial" w:cs="Arial" w:eastAsia="Arial" w:hAnsi="Arial"/>
                <w:b/>
                <w:bCs/>
                <w:color w:val="FFFFFF"/>
                <w:sz w:val="18"/>
                <w:szCs w:val="18"/>
              </w:rPr>
              <w:t xml:space="preserve">Statistic</w:t>
            </w:r>
          </w:p>
        </w:tc>
        <w:tc>
          <w:tcPr>
            <w:tcW w:type="dxa" w:w="3000"/>
            <w:tcBorders>
              <w:top w:val="single" w:color="0D1B2A" w:sz="1"/>
              <w:left w:val="single" w:color="0D1B2A" w:sz="1"/>
              <w:bottom w:val="single" w:color="0D1B2A" w:sz="1"/>
              <w:right w:val="single" w:color="0D1B2A" w:sz="1"/>
            </w:tcBorders>
            <w:shd w:fill="0D1B2A" w:val="clear"/>
            <w:tcMar>
              <w:top w:type="dxa" w:w="80"/>
              <w:left w:type="dxa" w:w="140"/>
              <w:bottom w:type="dxa" w:w="80"/>
              <w:right w:type="dxa" w:w="80"/>
            </w:tcMar>
          </w:tcPr>
          <w:p>
            <w:r>
              <w:rPr>
                <w:rFonts w:ascii="Arial" w:cs="Arial" w:eastAsia="Arial" w:hAnsi="Arial"/>
                <w:b/>
                <w:bCs/>
                <w:color w:val="FFFFFF"/>
                <w:sz w:val="18"/>
                <w:szCs w:val="18"/>
              </w:rPr>
              <w:t xml:space="preserve">Source</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1</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98% of organizations have employees using unsanctioned AI tools  -  making Shadow AI a near-universal enterprise condition</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Reco AI, 2026</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2</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More than 80% of all workers, including nearly 90% of security professionals, use unapproved AI tools in their jobs</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UpGuard, Nov 2025</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3</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78% of knowledge workers bring their own AI tools to work (BYOAI) rather than using company-provided solutions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Microsoft / LinkedIn Work Trend Index, 2024</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4</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75% of knowledge workers now use AI at work; 46% started within the past six months  -  adoption is still accelerating</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Microsoft Work Trend Index, 2025</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5</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71% of office workers admit to using AI tools at work without approval from their IT departments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Reco AI,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6</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67% of employees now use AI tools at work, but only 18% of organizations have formal AI security policies in place</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Salesforce Workforce AI Survey, 2026</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7</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57% of employees hide their AI use at work, indicating widespread awareness that the behavior is unauthorized</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Gigster / Reco AI,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8</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47% of generative AI users access tools through personal accounts, bypassing all enterprise data controls</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Netskope, 2026</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9</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Mid-level employees use AI tools 3.5x more than managers, creating the highest exposure at exactly the layer with the most data access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Cyberhaven,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10</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The top 1% of AI-adopting organizations use more than 300 distinct GenAI tools; cautious enterprises use fewer than 15  -  creating wildly uneven governance coverage</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Cyberhaven, 2026</w:t>
            </w:r>
          </w:p>
        </w:tc>
      </w:tr>
    </w:tbl>
    <w:p>
      <w:pPr>
        <w:spacing w:after="60" w:before="160"/>
      </w:pPr>
      <w:r>
        <w:t xml:space="preserve"/>
      </w:r>
    </w:p>
    <w:p>
      <w:pPr>
        <w:spacing w:after="80" w:before="60"/>
      </w:pPr>
      <w:r>
        <w:rPr>
          <w:rFonts w:ascii="Arial" w:cs="Arial" w:eastAsia="Arial" w:hAnsi="Arial"/>
          <w:b/>
          <w:bCs/>
          <w:color w:val="1B4F8A"/>
          <w:sz w:val="24"/>
          <w:szCs w:val="24"/>
        </w:rPr>
        <w:t xml:space="preserve">1.2  Data Exposure</w:t>
      </w:r>
    </w:p>
    <w:p>
      <w:pPr>
        <w:pBdr>
          <w:bottom w:val="single" w:color="1B4F8A" w:sz="8"/>
        </w:pBdr>
        <w:spacing w:after="40" w:before="40"/>
      </w:pPr>
      <w:r>
        <w:rPr>
          <w:rFonts w:ascii="Arial" w:cs="Arial" w:eastAsia="Arial" w:hAnsi="Arial"/>
        </w:rPr>
        <w:t xml:space="preserve"/>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5880"/>
        <w:gridCol w:w="3000"/>
      </w:tblGrid>
      <w:tr>
        <w:tc>
          <w:tcPr>
            <w:tcW w:type="dxa" w:w="480"/>
            <w:tcBorders>
              <w:top w:val="single" w:color="0D1B2A" w:sz="1"/>
              <w:left w:val="single" w:color="0D1B2A" w:sz="1"/>
              <w:bottom w:val="single" w:color="0D1B2A" w:sz="1"/>
              <w:right w:val="single" w:color="0D1B2A" w:sz="1"/>
            </w:tcBorders>
            <w:shd w:fill="0D1B2A" w:val="clear"/>
            <w:tcMar>
              <w:top w:type="dxa" w:w="80"/>
              <w:left w:type="dxa" w:w="80"/>
              <w:bottom w:type="dxa" w:w="80"/>
              <w:right w:type="dxa" w:w="60"/>
            </w:tcMar>
          </w:tcPr>
          <w:p>
            <w:pPr>
              <w:jc w:val="center"/>
            </w:pPr>
            <w:r>
              <w:rPr>
                <w:rFonts w:ascii="Arial" w:cs="Arial" w:eastAsia="Arial" w:hAnsi="Arial"/>
                <w:b/>
                <w:bCs/>
                <w:color w:val="FFFFFF"/>
                <w:sz w:val="18"/>
                <w:szCs w:val="18"/>
              </w:rPr>
              <w:t xml:space="preserve">#</w:t>
            </w:r>
          </w:p>
        </w:tc>
        <w:tc>
          <w:tcPr>
            <w:tcW w:type="dxa" w:w="5880"/>
            <w:tcBorders>
              <w:top w:val="single" w:color="0D1B2A" w:sz="1"/>
              <w:left w:val="single" w:color="0D1B2A" w:sz="1"/>
              <w:bottom w:val="single" w:color="0D1B2A" w:sz="1"/>
              <w:right w:val="single" w:color="0D1B2A" w:sz="1"/>
            </w:tcBorders>
            <w:shd w:fill="0D1B2A" w:val="clear"/>
            <w:tcMar>
              <w:top w:type="dxa" w:w="80"/>
              <w:left w:type="dxa" w:w="140"/>
              <w:bottom w:type="dxa" w:w="80"/>
              <w:right w:type="dxa" w:w="80"/>
            </w:tcMar>
          </w:tcPr>
          <w:p>
            <w:r>
              <w:rPr>
                <w:rFonts w:ascii="Arial" w:cs="Arial" w:eastAsia="Arial" w:hAnsi="Arial"/>
                <w:b/>
                <w:bCs/>
                <w:color w:val="FFFFFF"/>
                <w:sz w:val="18"/>
                <w:szCs w:val="18"/>
              </w:rPr>
              <w:t xml:space="preserve">Statistic</w:t>
            </w:r>
          </w:p>
        </w:tc>
        <w:tc>
          <w:tcPr>
            <w:tcW w:type="dxa" w:w="3000"/>
            <w:tcBorders>
              <w:top w:val="single" w:color="0D1B2A" w:sz="1"/>
              <w:left w:val="single" w:color="0D1B2A" w:sz="1"/>
              <w:bottom w:val="single" w:color="0D1B2A" w:sz="1"/>
              <w:right w:val="single" w:color="0D1B2A" w:sz="1"/>
            </w:tcBorders>
            <w:shd w:fill="0D1B2A" w:val="clear"/>
            <w:tcMar>
              <w:top w:type="dxa" w:w="80"/>
              <w:left w:type="dxa" w:w="140"/>
              <w:bottom w:type="dxa" w:w="80"/>
              <w:right w:type="dxa" w:w="80"/>
            </w:tcMar>
          </w:tcPr>
          <w:p>
            <w:r>
              <w:rPr>
                <w:rFonts w:ascii="Arial" w:cs="Arial" w:eastAsia="Arial" w:hAnsi="Arial"/>
                <w:b/>
                <w:bCs/>
                <w:color w:val="FFFFFF"/>
                <w:sz w:val="18"/>
                <w:szCs w:val="18"/>
              </w:rPr>
              <w:t xml:space="preserve">Source</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11</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27.4% of all corporate data entered into AI tools is sensitive  -  customer records, source code, financial data, or legal documents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Cyberhaven Research, 2024</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12</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The average enterprise uploads 8.2 GB of organizational data to AI apps per month  -  across tools most security teams cannot see</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Netskope Cloud &amp; Threat Report, 2026</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13</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32.3% of ChatGPT usage and 24.9% of Gemini usage now occurs through personal accounts, outside all enterprise controls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Cyberhaven, 2026</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14</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60% of enterprise users still rely on personal, unmanaged SaaS AI apps even at organizations that have adopted approved tools</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Netskope, May 2025</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15</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46% of organizations have experienced internal data leaks through generative AI  -  data that flowed out through employee prompts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Cisco Cybersecurity Readiness Index,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16</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The average organization experiences 223 AI data policy violations per month  -  double the rate from one year prior</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Netskope, 2026</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17</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Source code is the most-leaked data type at 30% of all sensitive AI exposures; legal documents follow at 22.3%; M&amp;A data at 12.6%</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Harmonic Security Research,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18</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33% of employees admit they have exposed sensitive company data to consumer AI tools without authorization</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IBM / Industry Survey, 2026</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19</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83% of organizations operate without basic technical controls to prevent confidential data uploads to AI systems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IBM Cost of a Data Breach,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20</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OpenAI services represent 53% of all shadow AI usage in studied enterprise environments, processing data from over 10,000 users per organization</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Reco AI, 2025</w:t>
            </w:r>
          </w:p>
        </w:tc>
      </w:tr>
    </w:tbl>
    <w:p>
      <w:pPr>
        <w:spacing w:after="60" w:before="160"/>
      </w:pPr>
      <w:r>
        <w:t xml:space="preserve"/>
      </w:r>
    </w:p>
    <w:p>
      <w:pPr>
        <w:spacing w:after="80" w:before="60"/>
      </w:pPr>
      <w:r>
        <w:rPr>
          <w:rFonts w:ascii="Arial" w:cs="Arial" w:eastAsia="Arial" w:hAnsi="Arial"/>
          <w:b/>
          <w:bCs/>
          <w:color w:val="1B4F8A"/>
          <w:sz w:val="24"/>
          <w:szCs w:val="24"/>
        </w:rPr>
        <w:t xml:space="preserve">1.3  Breach Costs &amp; Security Incidents</w:t>
      </w:r>
    </w:p>
    <w:p>
      <w:pPr>
        <w:pBdr>
          <w:bottom w:val="single" w:color="1B4F8A" w:sz="8"/>
        </w:pBdr>
        <w:spacing w:after="40" w:before="40"/>
      </w:pPr>
      <w:r>
        <w:rPr>
          <w:rFonts w:ascii="Arial" w:cs="Arial" w:eastAsia="Arial" w:hAnsi="Arial"/>
        </w:rPr>
        <w:t xml:space="preserve"/>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5880"/>
        <w:gridCol w:w="3000"/>
      </w:tblGrid>
      <w:tr>
        <w:tc>
          <w:tcPr>
            <w:tcW w:type="dxa" w:w="480"/>
            <w:tcBorders>
              <w:top w:val="single" w:color="0D1B2A" w:sz="1"/>
              <w:left w:val="single" w:color="0D1B2A" w:sz="1"/>
              <w:bottom w:val="single" w:color="0D1B2A" w:sz="1"/>
              <w:right w:val="single" w:color="0D1B2A" w:sz="1"/>
            </w:tcBorders>
            <w:shd w:fill="0D1B2A" w:val="clear"/>
            <w:tcMar>
              <w:top w:type="dxa" w:w="80"/>
              <w:left w:type="dxa" w:w="80"/>
              <w:bottom w:type="dxa" w:w="80"/>
              <w:right w:type="dxa" w:w="60"/>
            </w:tcMar>
          </w:tcPr>
          <w:p>
            <w:pPr>
              <w:jc w:val="center"/>
            </w:pPr>
            <w:r>
              <w:rPr>
                <w:rFonts w:ascii="Arial" w:cs="Arial" w:eastAsia="Arial" w:hAnsi="Arial"/>
                <w:b/>
                <w:bCs/>
                <w:color w:val="FFFFFF"/>
                <w:sz w:val="18"/>
                <w:szCs w:val="18"/>
              </w:rPr>
              <w:t xml:space="preserve">#</w:t>
            </w:r>
          </w:p>
        </w:tc>
        <w:tc>
          <w:tcPr>
            <w:tcW w:type="dxa" w:w="5880"/>
            <w:tcBorders>
              <w:top w:val="single" w:color="0D1B2A" w:sz="1"/>
              <w:left w:val="single" w:color="0D1B2A" w:sz="1"/>
              <w:bottom w:val="single" w:color="0D1B2A" w:sz="1"/>
              <w:right w:val="single" w:color="0D1B2A" w:sz="1"/>
            </w:tcBorders>
            <w:shd w:fill="0D1B2A" w:val="clear"/>
            <w:tcMar>
              <w:top w:type="dxa" w:w="80"/>
              <w:left w:type="dxa" w:w="140"/>
              <w:bottom w:type="dxa" w:w="80"/>
              <w:right w:type="dxa" w:w="80"/>
            </w:tcMar>
          </w:tcPr>
          <w:p>
            <w:r>
              <w:rPr>
                <w:rFonts w:ascii="Arial" w:cs="Arial" w:eastAsia="Arial" w:hAnsi="Arial"/>
                <w:b/>
                <w:bCs/>
                <w:color w:val="FFFFFF"/>
                <w:sz w:val="18"/>
                <w:szCs w:val="18"/>
              </w:rPr>
              <w:t xml:space="preserve">Statistic</w:t>
            </w:r>
          </w:p>
        </w:tc>
        <w:tc>
          <w:tcPr>
            <w:tcW w:type="dxa" w:w="3000"/>
            <w:tcBorders>
              <w:top w:val="single" w:color="0D1B2A" w:sz="1"/>
              <w:left w:val="single" w:color="0D1B2A" w:sz="1"/>
              <w:bottom w:val="single" w:color="0D1B2A" w:sz="1"/>
              <w:right w:val="single" w:color="0D1B2A" w:sz="1"/>
            </w:tcBorders>
            <w:shd w:fill="0D1B2A" w:val="clear"/>
            <w:tcMar>
              <w:top w:type="dxa" w:w="80"/>
              <w:left w:type="dxa" w:w="140"/>
              <w:bottom w:type="dxa" w:w="80"/>
              <w:right w:type="dxa" w:w="80"/>
            </w:tcMar>
          </w:tcPr>
          <w:p>
            <w:r>
              <w:rPr>
                <w:rFonts w:ascii="Arial" w:cs="Arial" w:eastAsia="Arial" w:hAnsi="Arial"/>
                <w:b/>
                <w:bCs/>
                <w:color w:val="FFFFFF"/>
                <w:sz w:val="18"/>
                <w:szCs w:val="18"/>
              </w:rPr>
              <w:t xml:space="preserve">Source</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21</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Shadow AI now accounts for 20% of all enterprise data breaches globally</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IBM Cost of a Data Breach Report,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22</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The average Shadow AI breach costs $4.63 million  -  $670,000 more than a standard breach at $3.96 million</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IBM Cost of a Data Breach Report, 2025</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23</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Shadow AI breaches take an average of 247 days to detect  -  6 days longer than standard breaches, compounding exposure and recovery costs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IBM / Vectra AI, 2026</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24</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97% of organizations that experienced an AI-related security incident lacked proper AI access controls at the time of the breach</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IBM Cost of a Data Breach Report, 2025</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25</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99% of organizations experienced at least one attack on their AI apps and services in the past year</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Palo Alto Networks State of Cloud Security,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26</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84% of major cyber incidents investigated by Palo Alto Networks Unit 42 resulted in operational downtime, reputational damage, or financial loss</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Palo Alto Networks Unit 42, 2025</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27</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ChatGPT is mentioned 550% more frequently in criminal forums than two years ago  -  adversaries are actively weaponizing AI tools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CrowdStrike Global Threat Report, 2026</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28</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Nearly 20% of businesses have already experienced data breaches or leaks directly caused by unauthorized AI use</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Reco AI, 2025</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29</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Stanford's 2025 AI Index recorded 233 AI-related security incidents in 2024  -  a record, representing a 56.4% year-over-year increase</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Stanford AI Index,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30</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The US average breach cost across all breach types reached $10.22 million in 2025  -  the highest of any country and a record high</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IBM Cost of a Data Breach Report, 2025</w:t>
            </w:r>
          </w:p>
        </w:tc>
      </w:tr>
    </w:tbl>
    <w:p>
      <w:pPr>
        <w:spacing w:after="60" w:before="160"/>
      </w:pPr>
      <w:r>
        <w:t xml:space="preserve"/>
      </w:r>
    </w:p>
    <w:p>
      <w:pPr>
        <w:spacing w:after="80" w:before="60"/>
      </w:pPr>
      <w:r>
        <w:rPr>
          <w:rFonts w:ascii="Arial" w:cs="Arial" w:eastAsia="Arial" w:hAnsi="Arial"/>
          <w:b/>
          <w:bCs/>
          <w:color w:val="1B4F8A"/>
          <w:sz w:val="24"/>
          <w:szCs w:val="24"/>
        </w:rPr>
        <w:t xml:space="preserve">1.4  Governance, Compliance &amp; Insurance</w:t>
      </w:r>
    </w:p>
    <w:p>
      <w:pPr>
        <w:pBdr>
          <w:bottom w:val="single" w:color="1B4F8A" w:sz="8"/>
        </w:pBdr>
        <w:spacing w:after="40" w:before="40"/>
      </w:pPr>
      <w:r>
        <w:rPr>
          <w:rFonts w:ascii="Arial" w:cs="Arial" w:eastAsia="Arial" w:hAnsi="Arial"/>
        </w:rPr>
        <w:t xml:space="preserve"/>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5880"/>
        <w:gridCol w:w="3000"/>
      </w:tblGrid>
      <w:tr>
        <w:tc>
          <w:tcPr>
            <w:tcW w:type="dxa" w:w="480"/>
            <w:tcBorders>
              <w:top w:val="single" w:color="0D1B2A" w:sz="1"/>
              <w:left w:val="single" w:color="0D1B2A" w:sz="1"/>
              <w:bottom w:val="single" w:color="0D1B2A" w:sz="1"/>
              <w:right w:val="single" w:color="0D1B2A" w:sz="1"/>
            </w:tcBorders>
            <w:shd w:fill="0D1B2A" w:val="clear"/>
            <w:tcMar>
              <w:top w:type="dxa" w:w="80"/>
              <w:left w:type="dxa" w:w="80"/>
              <w:bottom w:type="dxa" w:w="80"/>
              <w:right w:type="dxa" w:w="60"/>
            </w:tcMar>
          </w:tcPr>
          <w:p>
            <w:pPr>
              <w:jc w:val="center"/>
            </w:pPr>
            <w:r>
              <w:rPr>
                <w:rFonts w:ascii="Arial" w:cs="Arial" w:eastAsia="Arial" w:hAnsi="Arial"/>
                <w:b/>
                <w:bCs/>
                <w:color w:val="FFFFFF"/>
                <w:sz w:val="18"/>
                <w:szCs w:val="18"/>
              </w:rPr>
              <w:t xml:space="preserve">#</w:t>
            </w:r>
          </w:p>
        </w:tc>
        <w:tc>
          <w:tcPr>
            <w:tcW w:type="dxa" w:w="5880"/>
            <w:tcBorders>
              <w:top w:val="single" w:color="0D1B2A" w:sz="1"/>
              <w:left w:val="single" w:color="0D1B2A" w:sz="1"/>
              <w:bottom w:val="single" w:color="0D1B2A" w:sz="1"/>
              <w:right w:val="single" w:color="0D1B2A" w:sz="1"/>
            </w:tcBorders>
            <w:shd w:fill="0D1B2A" w:val="clear"/>
            <w:tcMar>
              <w:top w:type="dxa" w:w="80"/>
              <w:left w:type="dxa" w:w="140"/>
              <w:bottom w:type="dxa" w:w="80"/>
              <w:right w:type="dxa" w:w="80"/>
            </w:tcMar>
          </w:tcPr>
          <w:p>
            <w:r>
              <w:rPr>
                <w:rFonts w:ascii="Arial" w:cs="Arial" w:eastAsia="Arial" w:hAnsi="Arial"/>
                <w:b/>
                <w:bCs/>
                <w:color w:val="FFFFFF"/>
                <w:sz w:val="18"/>
                <w:szCs w:val="18"/>
              </w:rPr>
              <w:t xml:space="preserve">Statistic</w:t>
            </w:r>
          </w:p>
        </w:tc>
        <w:tc>
          <w:tcPr>
            <w:tcW w:type="dxa" w:w="3000"/>
            <w:tcBorders>
              <w:top w:val="single" w:color="0D1B2A" w:sz="1"/>
              <w:left w:val="single" w:color="0D1B2A" w:sz="1"/>
              <w:bottom w:val="single" w:color="0D1B2A" w:sz="1"/>
              <w:right w:val="single" w:color="0D1B2A" w:sz="1"/>
            </w:tcBorders>
            <w:shd w:fill="0D1B2A" w:val="clear"/>
            <w:tcMar>
              <w:top w:type="dxa" w:w="80"/>
              <w:left w:type="dxa" w:w="140"/>
              <w:bottom w:type="dxa" w:w="80"/>
              <w:right w:type="dxa" w:w="80"/>
            </w:tcMar>
          </w:tcPr>
          <w:p>
            <w:r>
              <w:rPr>
                <w:rFonts w:ascii="Arial" w:cs="Arial" w:eastAsia="Arial" w:hAnsi="Arial"/>
                <w:b/>
                <w:bCs/>
                <w:color w:val="FFFFFF"/>
                <w:sz w:val="18"/>
                <w:szCs w:val="18"/>
              </w:rPr>
              <w:t xml:space="preserve">Source</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31</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63% of organizations either have no AI governance policy or are still developing one  -  the majority operate without written rules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IBM Cost of a Data Breach Report,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32</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Only 9% of organizations have working governance systems  -  despite 33% of executives claiming comprehensive AI usage tracking</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Deloitte AI Governance Study, 2025</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33</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Only 31% of organizations are fully equipped to control and secure agentic AI systems, despite 83% planning to deploy AI agents within a year</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Cisco AI Readiness Index,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34</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Only 24% of all organizations can control AI agent actions with proper guardrails and live monitoring  -  vs. 84% of AI Pacesetters</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Cisco AI Readiness Index, 2025</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35</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60% of IT security leaders lack confidence in their ability to identify the use of unapproved AI tools in their environments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Cisco Cybersecurity Readiness Index, 2025</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36</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61% of organizations in scope for the EU AI Act have not completed an AI inventory  -  despite full enforcement beginning August 2026</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KPMG EU AI Act Readiness Survey, 2025</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37</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40% of cyber insurance claims are currently being denied  -  missing AI governance documentation is an emerging denial basis</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Industry Data, 2026</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38</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Organizations with strong AI governance controls pay 40-60% less in cyber insurance premiums than those without</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Insurance Carrier Analysis, 2026</w:t>
            </w:r>
          </w:p>
        </w:tc>
      </w:tr>
      <w:tr>
        <w:tc>
          <w:tcPr>
            <w:tcW w:type="dxa" w:w="480"/>
            <w:tcBorders>
              <w:top w:val="single" w:color="CBD5E1" w:sz="1"/>
              <w:left w:val="single" w:color="CBD5E1" w:sz="1"/>
              <w:bottom w:val="single" w:color="CBD5E1" w:sz="1"/>
              <w:right w:val="single" w:color="CBD5E1" w:sz="1"/>
            </w:tcBorders>
            <w:shd w:fill="FFFFFF"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39</w:t>
            </w:r>
          </w:p>
        </w:tc>
        <w:tc>
          <w:tcPr>
            <w:tcW w:type="dxa" w:w="588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sz w:val="19"/>
                <w:szCs w:val="19"/>
              </w:rPr>
              <w:t xml:space="preserve">Gartner predicts that by 2030, more than 40% of enterprises will experience a security or compliance incident tied to unauthorized Shadow AI</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80"/>
            </w:tcMar>
          </w:tcPr>
          <w:p>
            <w:r>
              <w:rPr>
                <w:rFonts w:ascii="Arial" w:cs="Arial" w:eastAsia="Arial" w:hAnsi="Arial"/>
                <w:i/>
                <w:iCs/>
                <w:color w:val="6B7280"/>
                <w:sz w:val="17"/>
                <w:szCs w:val="17"/>
              </w:rPr>
              <w:t xml:space="preserve">Gartner, 2026</w:t>
            </w:r>
          </w:p>
        </w:tc>
      </w:tr>
      <w:tr>
        <w:tc>
          <w:tcPr>
            <w:tcW w:type="dxa" w:w="480"/>
            <w:tcBorders>
              <w:top w:val="single" w:color="CBD5E1" w:sz="1"/>
              <w:left w:val="single" w:color="CBD5E1" w:sz="1"/>
              <w:bottom w:val="single" w:color="CBD5E1" w:sz="1"/>
              <w:right w:val="single" w:color="CBD5E1" w:sz="1"/>
            </w:tcBorders>
            <w:shd w:fill="F1F5F9" w:val="clear"/>
            <w:tcMar>
              <w:top w:type="dxa" w:w="80"/>
              <w:left w:type="dxa" w:w="80"/>
              <w:bottom w:type="dxa" w:w="80"/>
              <w:right w:type="dxa" w:w="60"/>
            </w:tcMar>
            <w:vAlign w:val="center"/>
          </w:tcPr>
          <w:p>
            <w:pPr>
              <w:jc w:val="center"/>
            </w:pPr>
            <w:r>
              <w:rPr>
                <w:rFonts w:ascii="Arial" w:cs="Arial" w:eastAsia="Arial" w:hAnsi="Arial"/>
                <w:b/>
                <w:bCs/>
                <w:color w:val="1B4F8A"/>
                <w:sz w:val="18"/>
                <w:szCs w:val="18"/>
              </w:rPr>
              <w:t xml:space="preserve">40</w:t>
            </w:r>
          </w:p>
        </w:tc>
        <w:tc>
          <w:tcPr>
            <w:tcW w:type="dxa" w:w="588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sz w:val="19"/>
                <w:szCs w:val="19"/>
              </w:rPr>
              <w:t xml:space="preserve">Only 13% of organizations globally are fully prepared to capture AI's value  -  Cisco's 'Pacesetters'  -  unchanged for three consecutive years</w:t>
            </w:r>
          </w:p>
        </w:tc>
        <w:tc>
          <w:tcPr>
            <w:tcW w:type="dxa" w:w="30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i/>
                <w:iCs/>
                <w:color w:val="6B7280"/>
                <w:sz w:val="17"/>
                <w:szCs w:val="17"/>
              </w:rPr>
              <w:t xml:space="preserve">Cisco AI Readiness Index, 2025</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1B2A" w:sz="1"/>
              <w:left w:val="single" w:color="0D1B2A" w:sz="1"/>
              <w:bottom w:val="single" w:color="0D1B2A" w:sz="1"/>
              <w:right w:val="single" w:color="0D1B2A" w:sz="1"/>
            </w:tcBorders>
            <w:shd w:fill="0D1B2A" w:val="clear"/>
            <w:tcMar>
              <w:top w:type="dxa" w:w="160"/>
              <w:left w:type="dxa" w:w="240"/>
              <w:bottom w:type="dxa" w:w="160"/>
              <w:right w:type="dxa" w:w="240"/>
            </w:tcMar>
          </w:tcPr>
          <w:p>
            <w:pPr>
              <w:spacing w:after="20"/>
            </w:pPr>
            <w:r>
              <w:rPr>
                <w:rFonts w:ascii="Arial" w:cs="Arial" w:eastAsia="Arial" w:hAnsi="Arial"/>
                <w:b/>
                <w:bCs/>
                <w:color w:val="93C5FD"/>
                <w:sz w:val="18"/>
                <w:szCs w:val="18"/>
              </w:rPr>
              <w:t xml:space="preserve">SECTION 2  OF  4</w:t>
            </w:r>
          </w:p>
          <w:p>
            <w:pPr>
              <w:spacing w:after="16"/>
            </w:pPr>
            <w:r>
              <w:rPr>
                <w:rFonts w:ascii="Arial" w:cs="Arial" w:eastAsia="Arial" w:hAnsi="Arial"/>
                <w:b/>
                <w:bCs/>
                <w:color w:val="FFFFFF"/>
                <w:sz w:val="32"/>
                <w:szCs w:val="32"/>
              </w:rPr>
              <w:t xml:space="preserve">Six Dominant Trends Reshaping Shadow AI Risk in 2026</w:t>
            </w:r>
          </w:p>
          <w:p>
            <w:r>
              <w:rPr>
                <w:rFonts w:ascii="Arial" w:cs="Arial" w:eastAsia="Arial" w:hAnsi="Arial"/>
                <w:i/>
                <w:iCs/>
                <w:color w:val="94A3B8"/>
                <w:sz w:val="19"/>
                <w:szCs w:val="19"/>
              </w:rPr>
              <w:t xml:space="preserve">The structural forces accelerating unauthorized AI adoption and expanding the governance gap</w:t>
            </w:r>
          </w:p>
        </w:tc>
      </w:tr>
    </w:tbl>
    <w:p>
      <w:pPr>
        <w:spacing w:after="6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0D1B2A" w:sz="1"/>
              <w:left w:val="single" w:color="0D1B2A" w:sz="1"/>
              <w:bottom w:val="single" w:color="0D1B2A" w:sz="1"/>
              <w:right w:val="single" w:color="0D1B2A" w:sz="1"/>
            </w:tcBorders>
            <w:shd w:fill="0D1B2A" w:val="clear"/>
            <w:tcMar>
              <w:top w:type="dxa" w:w="80"/>
              <w:left w:type="dxa" w:w="80"/>
              <w:bottom w:type="dxa" w:w="80"/>
              <w:right w:type="dxa" w:w="60"/>
            </w:tcMar>
          </w:tcPr>
          <w:p>
            <w:pPr>
              <w:jc w:val="center"/>
            </w:pPr>
            <w:r>
              <w:rPr>
                <w:rFonts w:ascii="Arial" w:cs="Arial" w:eastAsia="Arial" w:hAnsi="Arial"/>
                <w:b/>
                <w:bCs/>
                <w:color w:val="FFFFFF"/>
                <w:sz w:val="17"/>
                <w:szCs w:val="17"/>
              </w:rPr>
              <w:t xml:space="preserve">TREND</w:t>
            </w:r>
          </w:p>
        </w:tc>
        <w:tc>
          <w:tcPr>
            <w:tcW w:type="dxa" w:w="8640"/>
            <w:tcBorders>
              <w:top w:val="single" w:color="0D1B2A" w:sz="1"/>
              <w:left w:val="single" w:color="0D1B2A" w:sz="1"/>
              <w:bottom w:val="single" w:color="0D1B2A" w:sz="1"/>
              <w:right w:val="single" w:color="0D1B2A" w:sz="1"/>
            </w:tcBorders>
            <w:shd w:fill="0D1B2A" w:val="clear"/>
            <w:tcMar>
              <w:top w:type="dxa" w:w="80"/>
              <w:left w:type="dxa" w:w="160"/>
              <w:bottom w:type="dxa" w:w="80"/>
              <w:right w:type="dxa" w:w="120"/>
            </w:tcMar>
          </w:tcPr>
          <w:p>
            <w:r>
              <w:rPr>
                <w:rFonts w:ascii="Arial" w:cs="Arial" w:eastAsia="Arial" w:hAnsi="Arial"/>
                <w:b/>
                <w:bCs/>
                <w:color w:val="FFFFFF"/>
                <w:sz w:val="17"/>
                <w:szCs w:val="17"/>
              </w:rPr>
              <w:t xml:space="preserve">Description</w:t>
            </w:r>
          </w:p>
        </w:tc>
      </w:tr>
      <w:tr>
        <w:tc>
          <w:tcPr>
            <w:tcW w:type="dxa" w:w="720"/>
            <w:tcBorders>
              <w:top w:val="single" w:color="CBD5E1" w:sz="1"/>
              <w:left w:val="single" w:color="CBD5E1" w:sz="1"/>
              <w:bottom w:val="single" w:color="CBD5E1" w:sz="1"/>
              <w:right w:val="single" w:color="CBD5E1" w:sz="1"/>
            </w:tcBorders>
            <w:shd w:fill="F1F5F9" w:val="clear"/>
            <w:tcMar>
              <w:top w:type="dxa" w:w="110"/>
              <w:left w:type="dxa" w:w="80"/>
              <w:bottom w:type="dxa" w:w="110"/>
              <w:right w:type="dxa" w:w="60"/>
            </w:tcMar>
            <w:vAlign w:val="center"/>
          </w:tcPr>
          <w:p>
            <w:pPr>
              <w:jc w:val="center"/>
            </w:pPr>
            <w:r>
              <w:rPr>
                <w:rFonts w:ascii="Arial" w:cs="Arial" w:eastAsia="Arial" w:hAnsi="Arial"/>
                <w:b/>
                <w:bCs/>
                <w:color w:val="1B4F8A"/>
                <w:sz w:val="24"/>
                <w:szCs w:val="24"/>
              </w:rPr>
              <w:t xml:space="preserve">01</w:t>
            </w:r>
          </w:p>
        </w:tc>
        <w:tc>
          <w:tcPr>
            <w:tcW w:type="dxa" w:w="8640"/>
            <w:tcBorders>
              <w:top w:val="single" w:color="CBD5E1" w:sz="1"/>
              <w:left w:val="single" w:color="CBD5E1" w:sz="1"/>
              <w:bottom w:val="single" w:color="CBD5E1" w:sz="1"/>
              <w:right w:val="single" w:color="CBD5E1" w:sz="1"/>
            </w:tcBorders>
            <w:shd w:fill="FFFFFF" w:val="clear"/>
            <w:tcMar>
              <w:top w:type="dxa" w:w="110"/>
              <w:left w:type="dxa" w:w="160"/>
              <w:bottom w:type="dxa" w:w="110"/>
              <w:right w:type="dxa" w:w="120"/>
            </w:tcMar>
          </w:tcPr>
          <w:p>
            <w:pPr>
              <w:spacing w:after="40"/>
            </w:pPr>
            <w:r>
              <w:rPr>
                <w:rFonts w:ascii="Arial" w:cs="Arial" w:eastAsia="Arial" w:hAnsi="Arial"/>
                <w:b/>
                <w:bCs/>
                <w:color w:val="0D1B2A"/>
                <w:sz w:val="21"/>
                <w:szCs w:val="21"/>
              </w:rPr>
              <w:t xml:space="preserve">From Chatbots to Agents: The Second Wave Has Arrived</w:t>
            </w:r>
          </w:p>
          <w:p>
            <w:r>
              <w:rPr>
                <w:rFonts w:ascii="Arial" w:cs="Arial" w:eastAsia="Arial" w:hAnsi="Arial"/>
                <w:color w:val="374151"/>
                <w:sz w:val="19"/>
                <w:szCs w:val="19"/>
              </w:rPr>
              <w:t xml:space="preserve">Shadow AI is no longer just employees pasting text into chat interfaces. The second wave  -  AI agents that autonomously access files, send emails, write code, and take actions across enterprise systems  -  is here. Palo Alto Networks identifies autonomous AI agents as the defining enterprise security challenge of 2026. Cisco finds 83% of companies plan to deploy AI agents, but only 31% are equipped to secure them. The governance gap that existed for chatbots is exponentially larger for agents.</w:t>
            </w:r>
          </w:p>
        </w:tc>
      </w:tr>
      <w:tr>
        <w:tc>
          <w:tcPr>
            <w:tcW w:type="dxa" w:w="720"/>
            <w:tcBorders>
              <w:top w:val="single" w:color="CBD5E1" w:sz="1"/>
              <w:left w:val="single" w:color="CBD5E1" w:sz="1"/>
              <w:bottom w:val="single" w:color="CBD5E1" w:sz="1"/>
              <w:right w:val="single" w:color="CBD5E1" w:sz="1"/>
            </w:tcBorders>
            <w:shd w:fill="E2E8F0" w:val="clear"/>
            <w:tcMar>
              <w:top w:type="dxa" w:w="110"/>
              <w:left w:type="dxa" w:w="80"/>
              <w:bottom w:type="dxa" w:w="110"/>
              <w:right w:type="dxa" w:w="60"/>
            </w:tcMar>
            <w:vAlign w:val="center"/>
          </w:tcPr>
          <w:p>
            <w:pPr>
              <w:jc w:val="center"/>
            </w:pPr>
            <w:r>
              <w:rPr>
                <w:rFonts w:ascii="Arial" w:cs="Arial" w:eastAsia="Arial" w:hAnsi="Arial"/>
                <w:b/>
                <w:bCs/>
                <w:color w:val="1B4F8A"/>
                <w:sz w:val="24"/>
                <w:szCs w:val="24"/>
              </w:rPr>
              <w:t xml:space="preserve">02</w:t>
            </w:r>
          </w:p>
        </w:tc>
        <w:tc>
          <w:tcPr>
            <w:tcW w:type="dxa" w:w="8640"/>
            <w:tcBorders>
              <w:top w:val="single" w:color="CBD5E1" w:sz="1"/>
              <w:left w:val="single" w:color="CBD5E1" w:sz="1"/>
              <w:bottom w:val="single" w:color="CBD5E1" w:sz="1"/>
              <w:right w:val="single" w:color="CBD5E1" w:sz="1"/>
            </w:tcBorders>
            <w:shd w:fill="F1F5F9" w:val="clear"/>
            <w:tcMar>
              <w:top w:type="dxa" w:w="110"/>
              <w:left w:type="dxa" w:w="160"/>
              <w:bottom w:type="dxa" w:w="110"/>
              <w:right w:type="dxa" w:w="120"/>
            </w:tcMar>
          </w:tcPr>
          <w:p>
            <w:pPr>
              <w:spacing w:after="40"/>
            </w:pPr>
            <w:r>
              <w:rPr>
                <w:rFonts w:ascii="Arial" w:cs="Arial" w:eastAsia="Arial" w:hAnsi="Arial"/>
                <w:b/>
                <w:bCs/>
                <w:color w:val="0D1B2A"/>
                <w:sz w:val="21"/>
                <w:szCs w:val="21"/>
              </w:rPr>
              <w:t xml:space="preserve">The Personal Account Problem Refuses to Solve Itself</w:t>
            </w:r>
          </w:p>
          <w:p>
            <w:r>
              <w:rPr>
                <w:rFonts w:ascii="Arial" w:cs="Arial" w:eastAsia="Arial" w:hAnsi="Arial"/>
                <w:color w:val="374151"/>
                <w:sz w:val="19"/>
                <w:szCs w:val="19"/>
              </w:rPr>
              <w:t xml:space="preserve">Organizations that block AI tools at the network level discover employees pivot immediately to personal accounts on personal devices. 60% of enterprise users still access personal SaaS AI apps even after employer-approved tools are deployed (Netskope). 47% of all GenAI users globally access tools through personal accounts (Netskope). Network-layer controls address the symptom without touching the behavior.</w:t>
            </w:r>
          </w:p>
        </w:tc>
      </w:tr>
      <w:tr>
        <w:tc>
          <w:tcPr>
            <w:tcW w:type="dxa" w:w="720"/>
            <w:tcBorders>
              <w:top w:val="single" w:color="CBD5E1" w:sz="1"/>
              <w:left w:val="single" w:color="CBD5E1" w:sz="1"/>
              <w:bottom w:val="single" w:color="CBD5E1" w:sz="1"/>
              <w:right w:val="single" w:color="CBD5E1" w:sz="1"/>
            </w:tcBorders>
            <w:shd w:fill="F1F5F9" w:val="clear"/>
            <w:tcMar>
              <w:top w:type="dxa" w:w="110"/>
              <w:left w:type="dxa" w:w="80"/>
              <w:bottom w:type="dxa" w:w="110"/>
              <w:right w:type="dxa" w:w="60"/>
            </w:tcMar>
            <w:vAlign w:val="center"/>
          </w:tcPr>
          <w:p>
            <w:pPr>
              <w:jc w:val="center"/>
            </w:pPr>
            <w:r>
              <w:rPr>
                <w:rFonts w:ascii="Arial" w:cs="Arial" w:eastAsia="Arial" w:hAnsi="Arial"/>
                <w:b/>
                <w:bCs/>
                <w:color w:val="1B4F8A"/>
                <w:sz w:val="24"/>
                <w:szCs w:val="24"/>
              </w:rPr>
              <w:t xml:space="preserve">03</w:t>
            </w:r>
          </w:p>
        </w:tc>
        <w:tc>
          <w:tcPr>
            <w:tcW w:type="dxa" w:w="8640"/>
            <w:tcBorders>
              <w:top w:val="single" w:color="CBD5E1" w:sz="1"/>
              <w:left w:val="single" w:color="CBD5E1" w:sz="1"/>
              <w:bottom w:val="single" w:color="CBD5E1" w:sz="1"/>
              <w:right w:val="single" w:color="CBD5E1" w:sz="1"/>
            </w:tcBorders>
            <w:shd w:fill="FFFFFF" w:val="clear"/>
            <w:tcMar>
              <w:top w:type="dxa" w:w="110"/>
              <w:left w:type="dxa" w:w="160"/>
              <w:bottom w:type="dxa" w:w="110"/>
              <w:right w:type="dxa" w:w="120"/>
            </w:tcMar>
          </w:tcPr>
          <w:p>
            <w:pPr>
              <w:spacing w:after="40"/>
            </w:pPr>
            <w:r>
              <w:rPr>
                <w:rFonts w:ascii="Arial" w:cs="Arial" w:eastAsia="Arial" w:hAnsi="Arial"/>
                <w:b/>
                <w:bCs/>
                <w:color w:val="0D1B2A"/>
                <w:sz w:val="21"/>
                <w:szCs w:val="21"/>
              </w:rPr>
              <w:t xml:space="preserve">AI Capabilities Are Embedding Into Every Approved Tool</w:t>
            </w:r>
          </w:p>
          <w:p>
            <w:r>
              <w:rPr>
                <w:rFonts w:ascii="Arial" w:cs="Arial" w:eastAsia="Arial" w:hAnsi="Arial"/>
                <w:color w:val="374151"/>
                <w:sz w:val="19"/>
                <w:szCs w:val="19"/>
              </w:rPr>
              <w:t xml:space="preserve">The fastest-growing Shadow AI vector is invisible: AI features embedded by default into approved SaaS applications. Gartner projects that by 2026, more than 80% of independent software vendors will have embedded GenAI into their SaaS products. IT teams that approved a tool six months ago may find it now includes AI features that process customer data in ways that were never evaluated for compliance.</w:t>
            </w:r>
          </w:p>
        </w:tc>
      </w:tr>
      <w:tr>
        <w:tc>
          <w:tcPr>
            <w:tcW w:type="dxa" w:w="720"/>
            <w:tcBorders>
              <w:top w:val="single" w:color="CBD5E1" w:sz="1"/>
              <w:left w:val="single" w:color="CBD5E1" w:sz="1"/>
              <w:bottom w:val="single" w:color="CBD5E1" w:sz="1"/>
              <w:right w:val="single" w:color="CBD5E1" w:sz="1"/>
            </w:tcBorders>
            <w:shd w:fill="E2E8F0" w:val="clear"/>
            <w:tcMar>
              <w:top w:type="dxa" w:w="110"/>
              <w:left w:type="dxa" w:w="80"/>
              <w:bottom w:type="dxa" w:w="110"/>
              <w:right w:type="dxa" w:w="60"/>
            </w:tcMar>
            <w:vAlign w:val="center"/>
          </w:tcPr>
          <w:p>
            <w:pPr>
              <w:jc w:val="center"/>
            </w:pPr>
            <w:r>
              <w:rPr>
                <w:rFonts w:ascii="Arial" w:cs="Arial" w:eastAsia="Arial" w:hAnsi="Arial"/>
                <w:b/>
                <w:bCs/>
                <w:color w:val="1B4F8A"/>
                <w:sz w:val="24"/>
                <w:szCs w:val="24"/>
              </w:rPr>
              <w:t xml:space="preserve">04</w:t>
            </w:r>
          </w:p>
        </w:tc>
        <w:tc>
          <w:tcPr>
            <w:tcW w:type="dxa" w:w="8640"/>
            <w:tcBorders>
              <w:top w:val="single" w:color="CBD5E1" w:sz="1"/>
              <w:left w:val="single" w:color="CBD5E1" w:sz="1"/>
              <w:bottom w:val="single" w:color="CBD5E1" w:sz="1"/>
              <w:right w:val="single" w:color="CBD5E1" w:sz="1"/>
            </w:tcBorders>
            <w:shd w:fill="F1F5F9" w:val="clear"/>
            <w:tcMar>
              <w:top w:type="dxa" w:w="110"/>
              <w:left w:type="dxa" w:w="160"/>
              <w:bottom w:type="dxa" w:w="110"/>
              <w:right w:type="dxa" w:w="120"/>
            </w:tcMar>
          </w:tcPr>
          <w:p>
            <w:pPr>
              <w:spacing w:after="40"/>
            </w:pPr>
            <w:r>
              <w:rPr>
                <w:rFonts w:ascii="Arial" w:cs="Arial" w:eastAsia="Arial" w:hAnsi="Arial"/>
                <w:b/>
                <w:bCs/>
                <w:color w:val="0D1B2A"/>
                <w:sz w:val="21"/>
                <w:szCs w:val="21"/>
              </w:rPr>
              <w:t xml:space="preserve">Browser Extensions: The Silent Data Exfiltration Layer</w:t>
            </w:r>
          </w:p>
          <w:p>
            <w:r>
              <w:rPr>
                <w:rFonts w:ascii="Arial" w:cs="Arial" w:eastAsia="Arial" w:hAnsi="Arial"/>
                <w:color w:val="374151"/>
                <w:sz w:val="19"/>
                <w:szCs w:val="19"/>
              </w:rPr>
              <w:t xml:space="preserve">More than 20% of enterprise users have AI-enabled browser extensions installed with high or critical permission scope  -  access to everything typed in the browser. LayerX Research finds these extensions are 60% more likely to have known security vulnerabilities than standard extensions, 3x more likely to access cookies, and nearly 6x more likely to expand their permission scope after installation. Browser extension risk is a materially underestimated Shadow AI vector.</w:t>
            </w:r>
          </w:p>
        </w:tc>
      </w:tr>
      <w:tr>
        <w:tc>
          <w:tcPr>
            <w:tcW w:type="dxa" w:w="720"/>
            <w:tcBorders>
              <w:top w:val="single" w:color="CBD5E1" w:sz="1"/>
              <w:left w:val="single" w:color="CBD5E1" w:sz="1"/>
              <w:bottom w:val="single" w:color="CBD5E1" w:sz="1"/>
              <w:right w:val="single" w:color="CBD5E1" w:sz="1"/>
            </w:tcBorders>
            <w:shd w:fill="F1F5F9" w:val="clear"/>
            <w:tcMar>
              <w:top w:type="dxa" w:w="110"/>
              <w:left w:type="dxa" w:w="80"/>
              <w:bottom w:type="dxa" w:w="110"/>
              <w:right w:type="dxa" w:w="60"/>
            </w:tcMar>
            <w:vAlign w:val="center"/>
          </w:tcPr>
          <w:p>
            <w:pPr>
              <w:jc w:val="center"/>
            </w:pPr>
            <w:r>
              <w:rPr>
                <w:rFonts w:ascii="Arial" w:cs="Arial" w:eastAsia="Arial" w:hAnsi="Arial"/>
                <w:b/>
                <w:bCs/>
                <w:color w:val="1B4F8A"/>
                <w:sz w:val="24"/>
                <w:szCs w:val="24"/>
              </w:rPr>
              <w:t xml:space="preserve">05</w:t>
            </w:r>
          </w:p>
        </w:tc>
        <w:tc>
          <w:tcPr>
            <w:tcW w:type="dxa" w:w="8640"/>
            <w:tcBorders>
              <w:top w:val="single" w:color="CBD5E1" w:sz="1"/>
              <w:left w:val="single" w:color="CBD5E1" w:sz="1"/>
              <w:bottom w:val="single" w:color="CBD5E1" w:sz="1"/>
              <w:right w:val="single" w:color="CBD5E1" w:sz="1"/>
            </w:tcBorders>
            <w:shd w:fill="FFFFFF" w:val="clear"/>
            <w:tcMar>
              <w:top w:type="dxa" w:w="110"/>
              <w:left w:type="dxa" w:w="160"/>
              <w:bottom w:type="dxa" w:w="110"/>
              <w:right w:type="dxa" w:w="120"/>
            </w:tcMar>
          </w:tcPr>
          <w:p>
            <w:pPr>
              <w:spacing w:after="40"/>
            </w:pPr>
            <w:r>
              <w:rPr>
                <w:rFonts w:ascii="Arial" w:cs="Arial" w:eastAsia="Arial" w:hAnsi="Arial"/>
                <w:b/>
                <w:bCs/>
                <w:color w:val="0D1B2A"/>
                <w:sz w:val="21"/>
                <w:szCs w:val="21"/>
              </w:rPr>
              <w:t xml:space="preserve">The Regulatory Deadline Is No Longer Theoretical</w:t>
            </w:r>
          </w:p>
          <w:p>
            <w:r>
              <w:rPr>
                <w:rFonts w:ascii="Arial" w:cs="Arial" w:eastAsia="Arial" w:hAnsi="Arial"/>
                <w:color w:val="374151"/>
                <w:sz w:val="19"/>
                <w:szCs w:val="19"/>
              </w:rPr>
              <w:t xml:space="preserve">The EU AI Act became fully enforceable in August 2026, with penalties reaching €35 million or 7% of global annual revenue. The SEC's cybersecurity disclosure requirements  -  triggered for the first time by a Shadow AI incident at Community Bank in May 2026  -  are actively producing mandatory public filings. GDPR fines reached €1.2 billion in 2025. The compliance environment has moved from risk to consequence.</w:t>
            </w:r>
          </w:p>
        </w:tc>
      </w:tr>
      <w:tr>
        <w:tc>
          <w:tcPr>
            <w:tcW w:type="dxa" w:w="720"/>
            <w:tcBorders>
              <w:top w:val="single" w:color="CBD5E1" w:sz="1"/>
              <w:left w:val="single" w:color="CBD5E1" w:sz="1"/>
              <w:bottom w:val="single" w:color="CBD5E1" w:sz="1"/>
              <w:right w:val="single" w:color="CBD5E1" w:sz="1"/>
            </w:tcBorders>
            <w:shd w:fill="E2E8F0" w:val="clear"/>
            <w:tcMar>
              <w:top w:type="dxa" w:w="110"/>
              <w:left w:type="dxa" w:w="80"/>
              <w:bottom w:type="dxa" w:w="110"/>
              <w:right w:type="dxa" w:w="60"/>
            </w:tcMar>
            <w:vAlign w:val="center"/>
          </w:tcPr>
          <w:p>
            <w:pPr>
              <w:jc w:val="center"/>
            </w:pPr>
            <w:r>
              <w:rPr>
                <w:rFonts w:ascii="Arial" w:cs="Arial" w:eastAsia="Arial" w:hAnsi="Arial"/>
                <w:b/>
                <w:bCs/>
                <w:color w:val="1B4F8A"/>
                <w:sz w:val="24"/>
                <w:szCs w:val="24"/>
              </w:rPr>
              <w:t xml:space="preserve">06</w:t>
            </w:r>
          </w:p>
        </w:tc>
        <w:tc>
          <w:tcPr>
            <w:tcW w:type="dxa" w:w="8640"/>
            <w:tcBorders>
              <w:top w:val="single" w:color="CBD5E1" w:sz="1"/>
              <w:left w:val="single" w:color="CBD5E1" w:sz="1"/>
              <w:bottom w:val="single" w:color="CBD5E1" w:sz="1"/>
              <w:right w:val="single" w:color="CBD5E1" w:sz="1"/>
            </w:tcBorders>
            <w:shd w:fill="F1F5F9" w:val="clear"/>
            <w:tcMar>
              <w:top w:type="dxa" w:w="110"/>
              <w:left w:type="dxa" w:w="160"/>
              <w:bottom w:type="dxa" w:w="110"/>
              <w:right w:type="dxa" w:w="120"/>
            </w:tcMar>
          </w:tcPr>
          <w:p>
            <w:pPr>
              <w:spacing w:after="40"/>
            </w:pPr>
            <w:r>
              <w:rPr>
                <w:rFonts w:ascii="Arial" w:cs="Arial" w:eastAsia="Arial" w:hAnsi="Arial"/>
                <w:b/>
                <w:bCs/>
                <w:color w:val="0D1B2A"/>
                <w:sz w:val="21"/>
                <w:szCs w:val="21"/>
              </w:rPr>
              <w:t xml:space="preserve">Leadership Uses Shadow AI More Than Anyone  -  and Nobody Says Anything</w:t>
            </w:r>
          </w:p>
          <w:p>
            <w:r>
              <w:rPr>
                <w:rFonts w:ascii="Arial" w:cs="Arial" w:eastAsia="Arial" w:hAnsi="Arial"/>
                <w:color w:val="374151"/>
                <w:sz w:val="19"/>
                <w:szCs w:val="19"/>
              </w:rPr>
              <w:t xml:space="preserve">Senior decision-makers are more than twice as likely as their teams to use unauthorized AI tools. 69% of C-suite executives believe speed trumps security when it comes to AI adoption (Mimecast). This creates a governance paradox: the employees most likely to use Shadow AI are the ones who approve governance budgets and set organizational culture. Traditional compliance training cannot reach upward.</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single" w:color="1B4F8A" w:sz="1"/>
              <w:left w:val="single" w:color="1B4F8A" w:sz="1"/>
              <w:bottom w:val="single" w:color="1B4F8A" w:sz="1"/>
              <w:right w:val="single" w:color="1B4F8A" w:sz="1"/>
            </w:tcBorders>
            <w:shd w:fill="1B4F8A" w:val="clear"/>
            <w:tcMar>
              <w:top w:type="dxa" w:w="0"/>
              <w:left w:type="dxa" w:w="0"/>
              <w:bottom w:type="dxa" w:w="0"/>
              <w:right w:type="dxa" w:w="0"/>
            </w:tcMar>
          </w:tcPr>
          <w:p>
            <w:r>
              <w:rPr>
                <w:rFonts w:ascii="Arial" w:cs="Arial" w:eastAsia="Arial" w:hAnsi="Arial"/>
              </w:rPr>
              <w:t xml:space="preserve"/>
            </w:r>
          </w:p>
        </w:tc>
        <w:tc>
          <w:tcPr>
            <w:tcW w:type="dxa" w:w="9120"/>
            <w:tcBorders>
              <w:top w:val="single" w:color="CBD5E1" w:sz="1"/>
              <w:left w:val="single" w:color="CBD5E1" w:sz="1"/>
              <w:bottom w:val="single" w:color="CBD5E1" w:sz="1"/>
              <w:right w:val="single" w:color="CBD5E1" w:sz="1"/>
            </w:tcBorders>
            <w:shd w:fill="F1F5F9" w:val="clear"/>
            <w:tcMar>
              <w:top w:type="dxa" w:w="140"/>
              <w:left w:type="dxa" w:w="200"/>
              <w:bottom w:type="dxa" w:w="140"/>
              <w:right w:type="dxa" w:w="180"/>
            </w:tcMar>
          </w:tcPr>
          <w:p>
            <w:pPr>
              <w:spacing w:after="60"/>
            </w:pPr>
            <w:r>
              <w:rPr>
                <w:rFonts w:ascii="Arial" w:cs="Arial" w:eastAsia="Arial" w:hAnsi="Arial"/>
                <w:i/>
                <w:iCs/>
                <w:color w:val="0D1B2A"/>
                <w:sz w:val="21"/>
                <w:szCs w:val="21"/>
              </w:rPr>
              <w:t xml:space="preserve">AI adoption is redefining cybersecurity risk, yet the ultimate opportunity is for defenders. While attackers use AI to scale and accelerate threats, defenders must counter with equal speed and intelligence.</w:t>
            </w:r>
          </w:p>
          <w:p>
            <w:r>
              <w:rPr>
                <w:rFonts w:ascii="Arial" w:cs="Arial" w:eastAsia="Arial" w:hAnsi="Arial"/>
                <w:b/>
                <w:bCs/>
                <w:color w:val="1B4F8A"/>
                <w:sz w:val="18"/>
                <w:szCs w:val="18"/>
              </w:rPr>
              <w:t xml:space="preserve"> -  Wendi Whitmore, Chief Security Intelligence Officer, Palo Alto Networks, 2025</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1B2A" w:sz="1"/>
              <w:left w:val="single" w:color="0D1B2A" w:sz="1"/>
              <w:bottom w:val="single" w:color="0D1B2A" w:sz="1"/>
              <w:right w:val="single" w:color="0D1B2A" w:sz="1"/>
            </w:tcBorders>
            <w:shd w:fill="0D1B2A" w:val="clear"/>
            <w:tcMar>
              <w:top w:type="dxa" w:w="160"/>
              <w:left w:type="dxa" w:w="240"/>
              <w:bottom w:type="dxa" w:w="160"/>
              <w:right w:type="dxa" w:w="240"/>
            </w:tcMar>
          </w:tcPr>
          <w:p>
            <w:pPr>
              <w:spacing w:after="20"/>
            </w:pPr>
            <w:r>
              <w:rPr>
                <w:rFonts w:ascii="Arial" w:cs="Arial" w:eastAsia="Arial" w:hAnsi="Arial"/>
                <w:b/>
                <w:bCs/>
                <w:color w:val="93C5FD"/>
                <w:sz w:val="18"/>
                <w:szCs w:val="18"/>
              </w:rPr>
              <w:t xml:space="preserve">SECTION 3  OF  4</w:t>
            </w:r>
          </w:p>
          <w:p>
            <w:pPr>
              <w:spacing w:after="16"/>
            </w:pPr>
            <w:r>
              <w:rPr>
                <w:rFonts w:ascii="Arial" w:cs="Arial" w:eastAsia="Arial" w:hAnsi="Arial"/>
                <w:b/>
                <w:bCs/>
                <w:color w:val="FFFFFF"/>
                <w:sz w:val="32"/>
                <w:szCs w:val="32"/>
              </w:rPr>
              <w:t xml:space="preserve">Eight Critical Risk Categories for 2026</w:t>
            </w:r>
          </w:p>
          <w:p>
            <w:r>
              <w:rPr>
                <w:rFonts w:ascii="Arial" w:cs="Arial" w:eastAsia="Arial" w:hAnsi="Arial"/>
                <w:i/>
                <w:iCs/>
                <w:color w:val="94A3B8"/>
                <w:sz w:val="19"/>
                <w:szCs w:val="19"/>
              </w:rPr>
              <w:t xml:space="preserve">The highest-consequence threats produced by unauthorized AI use in the workplace</w:t>
            </w:r>
          </w:p>
        </w:tc>
      </w:tr>
    </w:tbl>
    <w:p>
      <w:pPr>
        <w:spacing w:after="6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5760"/>
      </w:tblGrid>
      <w:tr>
        <w:tc>
          <w:tcPr>
            <w:tcW w:type="dxa" w:w="1400"/>
            <w:tcBorders>
              <w:top w:val="single" w:color="0D1B2A" w:sz="1"/>
              <w:left w:val="single" w:color="0D1B2A" w:sz="1"/>
              <w:bottom w:val="single" w:color="0D1B2A" w:sz="1"/>
              <w:right w:val="single" w:color="0D1B2A" w:sz="1"/>
            </w:tcBorders>
            <w:shd w:fill="0D1B2A" w:val="clear"/>
            <w:tcMar>
              <w:top w:type="dxa" w:w="80"/>
              <w:left w:type="dxa" w:w="120"/>
              <w:bottom w:type="dxa" w:w="80"/>
              <w:right w:type="dxa" w:w="80"/>
            </w:tcMar>
          </w:tcPr>
          <w:p>
            <w:pPr>
              <w:jc w:val="center"/>
            </w:pPr>
            <w:r>
              <w:rPr>
                <w:rFonts w:ascii="Arial" w:cs="Arial" w:eastAsia="Arial" w:hAnsi="Arial"/>
                <w:b/>
                <w:bCs/>
                <w:color w:val="FFFFFF"/>
                <w:sz w:val="18"/>
                <w:szCs w:val="18"/>
              </w:rPr>
              <w:t xml:space="preserve">Level</w:t>
            </w:r>
          </w:p>
        </w:tc>
        <w:tc>
          <w:tcPr>
            <w:tcW w:type="dxa" w:w="2200"/>
            <w:tcBorders>
              <w:top w:val="single" w:color="0D1B2A" w:sz="1"/>
              <w:left w:val="single" w:color="0D1B2A" w:sz="1"/>
              <w:bottom w:val="single" w:color="0D1B2A" w:sz="1"/>
              <w:right w:val="single" w:color="0D1B2A" w:sz="1"/>
            </w:tcBorders>
            <w:shd w:fill="0D1B2A" w:val="clear"/>
            <w:tcMar>
              <w:top w:type="dxa" w:w="80"/>
              <w:left w:type="dxa" w:w="140"/>
              <w:bottom w:type="dxa" w:w="80"/>
              <w:right w:type="dxa" w:w="80"/>
            </w:tcMar>
          </w:tcPr>
          <w:p>
            <w:r>
              <w:rPr>
                <w:rFonts w:ascii="Arial" w:cs="Arial" w:eastAsia="Arial" w:hAnsi="Arial"/>
                <w:b/>
                <w:bCs/>
                <w:color w:val="FFFFFF"/>
                <w:sz w:val="18"/>
                <w:szCs w:val="18"/>
              </w:rPr>
              <w:t xml:space="preserve">Risk Category</w:t>
            </w:r>
          </w:p>
        </w:tc>
        <w:tc>
          <w:tcPr>
            <w:tcW w:type="dxa" w:w="5760"/>
            <w:tcBorders>
              <w:top w:val="single" w:color="0D1B2A" w:sz="1"/>
              <w:left w:val="single" w:color="0D1B2A" w:sz="1"/>
              <w:bottom w:val="single" w:color="0D1B2A" w:sz="1"/>
              <w:right w:val="single" w:color="0D1B2A" w:sz="1"/>
            </w:tcBorders>
            <w:shd w:fill="0D1B2A" w:val="clear"/>
            <w:tcMar>
              <w:top w:type="dxa" w:w="80"/>
              <w:left w:type="dxa" w:w="140"/>
              <w:bottom w:type="dxa" w:w="80"/>
              <w:right w:type="dxa" w:w="100"/>
            </w:tcMar>
          </w:tcPr>
          <w:p>
            <w:r>
              <w:rPr>
                <w:rFonts w:ascii="Arial" w:cs="Arial" w:eastAsia="Arial" w:hAnsi="Arial"/>
                <w:b/>
                <w:bCs/>
                <w:color w:val="FFFFFF"/>
                <w:sz w:val="18"/>
                <w:szCs w:val="18"/>
              </w:rPr>
              <w:t xml:space="preserve">What It Means for Your Organization</w:t>
            </w:r>
          </w:p>
        </w:tc>
      </w:tr>
      <w:tr>
        <w:tc>
          <w:tcPr>
            <w:tcW w:type="dxa" w:w="1400"/>
            <w:tcBorders>
              <w:top w:val="single" w:color="CBD5E1" w:sz="1"/>
              <w:left w:val="single" w:color="CBD5E1" w:sz="1"/>
              <w:bottom w:val="single" w:color="CBD5E1" w:sz="1"/>
              <w:right w:val="single" w:color="CBD5E1" w:sz="1"/>
            </w:tcBorders>
            <w:shd w:fill="FEE2E2" w:val="clear"/>
            <w:tcMar>
              <w:top w:type="dxa" w:w="100"/>
              <w:left w:type="dxa" w:w="120"/>
              <w:bottom w:type="dxa" w:w="100"/>
              <w:right w:type="dxa" w:w="80"/>
            </w:tcMar>
            <w:vAlign w:val="center"/>
          </w:tcPr>
          <w:p>
            <w:pPr>
              <w:jc w:val="center"/>
            </w:pPr>
            <w:r>
              <w:rPr>
                <w:rFonts w:ascii="Arial" w:cs="Arial" w:eastAsia="Arial" w:hAnsi="Arial"/>
                <w:b/>
                <w:bCs/>
                <w:color w:val="B91C1C"/>
                <w:sz w:val="18"/>
                <w:szCs w:val="18"/>
              </w:rPr>
              <w:t xml:space="preserve">CRITICAL</w:t>
            </w:r>
          </w:p>
        </w:tc>
        <w:tc>
          <w:tcPr>
            <w:tcW w:type="dxa" w:w="2200"/>
            <w:tcBorders>
              <w:top w:val="single" w:color="CBD5E1" w:sz="1"/>
              <w:left w:val="single" w:color="CBD5E1" w:sz="1"/>
              <w:bottom w:val="single" w:color="CBD5E1" w:sz="1"/>
              <w:right w:val="single" w:color="CBD5E1" w:sz="1"/>
            </w:tcBorders>
            <w:shd w:fill="FFFFFF" w:val="clear"/>
            <w:tcMar>
              <w:top w:type="dxa" w:w="100"/>
              <w:left w:type="dxa" w:w="140"/>
              <w:bottom w:type="dxa" w:w="100"/>
              <w:right w:type="dxa" w:w="80"/>
            </w:tcMar>
          </w:tcPr>
          <w:p>
            <w:r>
              <w:rPr>
                <w:rFonts w:ascii="Arial" w:cs="Arial" w:eastAsia="Arial" w:hAnsi="Arial"/>
                <w:b/>
                <w:bCs/>
                <w:color w:val="0D1B2A"/>
                <w:sz w:val="20"/>
                <w:szCs w:val="20"/>
              </w:rPr>
              <w:t xml:space="preserve">Regulatory Disclosure</w:t>
            </w:r>
          </w:p>
        </w:tc>
        <w:tc>
          <w:tcPr>
            <w:tcW w:type="dxa" w:w="5760"/>
            <w:tcBorders>
              <w:top w:val="single" w:color="CBD5E1" w:sz="1"/>
              <w:left w:val="single" w:color="CBD5E1" w:sz="1"/>
              <w:bottom w:val="single" w:color="CBD5E1" w:sz="1"/>
              <w:right w:val="single" w:color="CBD5E1" w:sz="1"/>
            </w:tcBorders>
            <w:shd w:fill="FFFFFF" w:val="clear"/>
            <w:tcMar>
              <w:top w:type="dxa" w:w="100"/>
              <w:left w:type="dxa" w:w="140"/>
              <w:bottom w:type="dxa" w:w="100"/>
              <w:right w:type="dxa" w:w="100"/>
            </w:tcMar>
          </w:tcPr>
          <w:p>
            <w:r>
              <w:rPr>
                <w:rFonts w:ascii="Arial" w:cs="Arial" w:eastAsia="Arial" w:hAnsi="Arial"/>
                <w:color w:val="374151"/>
                <w:sz w:val="19"/>
                <w:szCs w:val="19"/>
              </w:rPr>
              <w:t xml:space="preserve">A single employee's unauthorized AI use can now trigger a mandatory SEC Form 8-K disclosure within four business days of a materiality determination. Community Bank (May 2026) became the first public company to file under this rule for an AI incident  -  not a cyberattack. The legal consequence arrives faster than most breach response teams can mobilize.</w:t>
            </w:r>
          </w:p>
        </w:tc>
      </w:tr>
      <w:tr>
        <w:tc>
          <w:tcPr>
            <w:tcW w:type="dxa" w:w="1400"/>
            <w:tcBorders>
              <w:top w:val="single" w:color="CBD5E1" w:sz="1"/>
              <w:left w:val="single" w:color="CBD5E1" w:sz="1"/>
              <w:bottom w:val="single" w:color="CBD5E1" w:sz="1"/>
              <w:right w:val="single" w:color="CBD5E1" w:sz="1"/>
            </w:tcBorders>
            <w:shd w:fill="FEE2E2" w:val="clear"/>
            <w:tcMar>
              <w:top w:type="dxa" w:w="100"/>
              <w:left w:type="dxa" w:w="120"/>
              <w:bottom w:type="dxa" w:w="100"/>
              <w:right w:type="dxa" w:w="80"/>
            </w:tcMar>
            <w:vAlign w:val="center"/>
          </w:tcPr>
          <w:p>
            <w:pPr>
              <w:jc w:val="center"/>
            </w:pPr>
            <w:r>
              <w:rPr>
                <w:rFonts w:ascii="Arial" w:cs="Arial" w:eastAsia="Arial" w:hAnsi="Arial"/>
                <w:b/>
                <w:bCs/>
                <w:color w:val="B91C1C"/>
                <w:sz w:val="18"/>
                <w:szCs w:val="18"/>
              </w:rPr>
              <w:t xml:space="preserve">CRITICAL</w:t>
            </w:r>
          </w:p>
        </w:tc>
        <w:tc>
          <w:tcPr>
            <w:tcW w:type="dxa" w:w="2200"/>
            <w:tcBorders>
              <w:top w:val="single" w:color="CBD5E1" w:sz="1"/>
              <w:left w:val="single" w:color="CBD5E1" w:sz="1"/>
              <w:bottom w:val="single" w:color="CBD5E1" w:sz="1"/>
              <w:right w:val="single" w:color="CBD5E1" w:sz="1"/>
            </w:tcBorders>
            <w:shd w:fill="F1F5F9" w:val="clear"/>
            <w:tcMar>
              <w:top w:type="dxa" w:w="100"/>
              <w:left w:type="dxa" w:w="140"/>
              <w:bottom w:type="dxa" w:w="100"/>
              <w:right w:type="dxa" w:w="80"/>
            </w:tcMar>
          </w:tcPr>
          <w:p>
            <w:r>
              <w:rPr>
                <w:rFonts w:ascii="Arial" w:cs="Arial" w:eastAsia="Arial" w:hAnsi="Arial"/>
                <w:b/>
                <w:bCs/>
                <w:color w:val="0D1B2A"/>
                <w:sz w:val="20"/>
                <w:szCs w:val="20"/>
              </w:rPr>
              <w:t xml:space="preserve">PHI / PII Data Exfiltration</w:t>
            </w:r>
          </w:p>
        </w:tc>
        <w:tc>
          <w:tcPr>
            <w:tcW w:type="dxa" w:w="5760"/>
            <w:tcBorders>
              <w:top w:val="single" w:color="CBD5E1" w:sz="1"/>
              <w:left w:val="single" w:color="CBD5E1" w:sz="1"/>
              <w:bottom w:val="single" w:color="CBD5E1" w:sz="1"/>
              <w:right w:val="single" w:color="CBD5E1" w:sz="1"/>
            </w:tcBorders>
            <w:shd w:fill="F1F5F9" w:val="clear"/>
            <w:tcMar>
              <w:top w:type="dxa" w:w="100"/>
              <w:left w:type="dxa" w:w="140"/>
              <w:bottom w:type="dxa" w:w="100"/>
              <w:right w:type="dxa" w:w="100"/>
            </w:tcMar>
          </w:tcPr>
          <w:p>
            <w:r>
              <w:rPr>
                <w:rFonts w:ascii="Arial" w:cs="Arial" w:eastAsia="Arial" w:hAnsi="Arial"/>
                <w:color w:val="374151"/>
                <w:sz w:val="19"/>
                <w:szCs w:val="19"/>
              </w:rPr>
              <w:t xml:space="preserve">When employees paste patient records, client financial data, or personnel files into consumer AI tools, that data is transmitted to third-party servers under no regulatory agreement. HIPAA, GLBA, and GDPR violations can be triggered without any malicious actor  -  the employee's good intentions are legally irrelevant. Fines reach $1.5M per violation category per year (HIPAA) and 4% of global revenue (GDPR).</w:t>
            </w:r>
          </w:p>
        </w:tc>
      </w:tr>
      <w:tr>
        <w:tc>
          <w:tcPr>
            <w:tcW w:type="dxa" w:w="1400"/>
            <w:tcBorders>
              <w:top w:val="single" w:color="CBD5E1" w:sz="1"/>
              <w:left w:val="single" w:color="CBD5E1" w:sz="1"/>
              <w:bottom w:val="single" w:color="CBD5E1" w:sz="1"/>
              <w:right w:val="single" w:color="CBD5E1" w:sz="1"/>
            </w:tcBorders>
            <w:shd w:fill="FEE2E2" w:val="clear"/>
            <w:tcMar>
              <w:top w:type="dxa" w:w="100"/>
              <w:left w:type="dxa" w:w="120"/>
              <w:bottom w:type="dxa" w:w="100"/>
              <w:right w:type="dxa" w:w="80"/>
            </w:tcMar>
            <w:vAlign w:val="center"/>
          </w:tcPr>
          <w:p>
            <w:pPr>
              <w:jc w:val="center"/>
            </w:pPr>
            <w:r>
              <w:rPr>
                <w:rFonts w:ascii="Arial" w:cs="Arial" w:eastAsia="Arial" w:hAnsi="Arial"/>
                <w:b/>
                <w:bCs/>
                <w:color w:val="B91C1C"/>
                <w:sz w:val="18"/>
                <w:szCs w:val="18"/>
              </w:rPr>
              <w:t xml:space="preserve">CRITICAL</w:t>
            </w:r>
          </w:p>
        </w:tc>
        <w:tc>
          <w:tcPr>
            <w:tcW w:type="dxa" w:w="2200"/>
            <w:tcBorders>
              <w:top w:val="single" w:color="CBD5E1" w:sz="1"/>
              <w:left w:val="single" w:color="CBD5E1" w:sz="1"/>
              <w:bottom w:val="single" w:color="CBD5E1" w:sz="1"/>
              <w:right w:val="single" w:color="CBD5E1" w:sz="1"/>
            </w:tcBorders>
            <w:shd w:fill="FFFFFF" w:val="clear"/>
            <w:tcMar>
              <w:top w:type="dxa" w:w="100"/>
              <w:left w:type="dxa" w:w="140"/>
              <w:bottom w:type="dxa" w:w="100"/>
              <w:right w:type="dxa" w:w="80"/>
            </w:tcMar>
          </w:tcPr>
          <w:p>
            <w:r>
              <w:rPr>
                <w:rFonts w:ascii="Arial" w:cs="Arial" w:eastAsia="Arial" w:hAnsi="Arial"/>
                <w:b/>
                <w:bCs/>
                <w:color w:val="0D1B2A"/>
                <w:sz w:val="20"/>
                <w:szCs w:val="20"/>
              </w:rPr>
              <w:t xml:space="preserve">Deepfake &amp; Voice Clone Fraud</w:t>
            </w:r>
          </w:p>
        </w:tc>
        <w:tc>
          <w:tcPr>
            <w:tcW w:type="dxa" w:w="5760"/>
            <w:tcBorders>
              <w:top w:val="single" w:color="CBD5E1" w:sz="1"/>
              <w:left w:val="single" w:color="CBD5E1" w:sz="1"/>
              <w:bottom w:val="single" w:color="CBD5E1" w:sz="1"/>
              <w:right w:val="single" w:color="CBD5E1" w:sz="1"/>
            </w:tcBorders>
            <w:shd w:fill="FFFFFF" w:val="clear"/>
            <w:tcMar>
              <w:top w:type="dxa" w:w="100"/>
              <w:left w:type="dxa" w:w="140"/>
              <w:bottom w:type="dxa" w:w="100"/>
              <w:right w:type="dxa" w:w="100"/>
            </w:tcMar>
          </w:tcPr>
          <w:p>
            <w:r>
              <w:rPr>
                <w:rFonts w:ascii="Arial" w:cs="Arial" w:eastAsia="Arial" w:hAnsi="Arial"/>
                <w:color w:val="374151"/>
                <w:sz w:val="19"/>
                <w:szCs w:val="19"/>
              </w:rPr>
              <w:t xml:space="preserve">The Arup case (2024) confirmed that entire video conference rooms can be faked in real time. An employee authorized $25.6M in wire transfers to deepfake participants. Voice cloning requires 3-5 seconds of sample audio. Any executive whose voice appears in a publicly accessible webinar, earnings call, or video is potential raw material for impersonation fraud targeting finance teams.</w:t>
            </w:r>
          </w:p>
        </w:tc>
      </w:tr>
      <w:tr>
        <w:tc>
          <w:tcPr>
            <w:tcW w:type="dxa" w:w="1400"/>
            <w:tcBorders>
              <w:top w:val="single" w:color="CBD5E1" w:sz="1"/>
              <w:left w:val="single" w:color="CBD5E1" w:sz="1"/>
              <w:bottom w:val="single" w:color="CBD5E1" w:sz="1"/>
              <w:right w:val="single" w:color="CBD5E1" w:sz="1"/>
            </w:tcBorders>
            <w:shd w:fill="FEF3C7" w:val="clear"/>
            <w:tcMar>
              <w:top w:type="dxa" w:w="100"/>
              <w:left w:type="dxa" w:w="120"/>
              <w:bottom w:type="dxa" w:w="100"/>
              <w:right w:type="dxa" w:w="80"/>
            </w:tcMar>
            <w:vAlign w:val="center"/>
          </w:tcPr>
          <w:p>
            <w:pPr>
              <w:jc w:val="center"/>
            </w:pPr>
            <w:r>
              <w:rPr>
                <w:rFonts w:ascii="Arial" w:cs="Arial" w:eastAsia="Arial" w:hAnsi="Arial"/>
                <w:b/>
                <w:bCs/>
                <w:color w:val="B45309"/>
                <w:sz w:val="18"/>
                <w:szCs w:val="18"/>
              </w:rPr>
              <w:t xml:space="preserve">HIGH</w:t>
            </w:r>
          </w:p>
        </w:tc>
        <w:tc>
          <w:tcPr>
            <w:tcW w:type="dxa" w:w="2200"/>
            <w:tcBorders>
              <w:top w:val="single" w:color="CBD5E1" w:sz="1"/>
              <w:left w:val="single" w:color="CBD5E1" w:sz="1"/>
              <w:bottom w:val="single" w:color="CBD5E1" w:sz="1"/>
              <w:right w:val="single" w:color="CBD5E1" w:sz="1"/>
            </w:tcBorders>
            <w:shd w:fill="F1F5F9" w:val="clear"/>
            <w:tcMar>
              <w:top w:type="dxa" w:w="100"/>
              <w:left w:type="dxa" w:w="140"/>
              <w:bottom w:type="dxa" w:w="100"/>
              <w:right w:type="dxa" w:w="80"/>
            </w:tcMar>
          </w:tcPr>
          <w:p>
            <w:r>
              <w:rPr>
                <w:rFonts w:ascii="Arial" w:cs="Arial" w:eastAsia="Arial" w:hAnsi="Arial"/>
                <w:b/>
                <w:bCs/>
                <w:color w:val="0D1B2A"/>
                <w:sz w:val="20"/>
                <w:szCs w:val="20"/>
              </w:rPr>
              <w:t xml:space="preserve">Agentic AI Credential Chain Attacks</w:t>
            </w:r>
          </w:p>
        </w:tc>
        <w:tc>
          <w:tcPr>
            <w:tcW w:type="dxa" w:w="5760"/>
            <w:tcBorders>
              <w:top w:val="single" w:color="CBD5E1" w:sz="1"/>
              <w:left w:val="single" w:color="CBD5E1" w:sz="1"/>
              <w:bottom w:val="single" w:color="CBD5E1" w:sz="1"/>
              <w:right w:val="single" w:color="CBD5E1" w:sz="1"/>
            </w:tcBorders>
            <w:shd w:fill="F1F5F9" w:val="clear"/>
            <w:tcMar>
              <w:top w:type="dxa" w:w="100"/>
              <w:left w:type="dxa" w:w="140"/>
              <w:bottom w:type="dxa" w:w="100"/>
              <w:right w:type="dxa" w:w="100"/>
            </w:tcMar>
          </w:tcPr>
          <w:p>
            <w:r>
              <w:rPr>
                <w:rFonts w:ascii="Arial" w:cs="Arial" w:eastAsia="Arial" w:hAnsi="Arial"/>
                <w:color w:val="374151"/>
                <w:sz w:val="19"/>
                <w:szCs w:val="19"/>
              </w:rPr>
              <w:t xml:space="preserve">AI agents connected to enterprise systems via OAuth tokens represent a new attack vector. The Vercel / Context.ai incident (April 2026) demonstrated that a single personal AI agent connection, made through legitimate credentials, can give a compromised third-party tool access to internal infrastructure and customer data. Agent permissions bypass traditional access review entirely.</w:t>
            </w:r>
          </w:p>
        </w:tc>
      </w:tr>
      <w:tr>
        <w:tc>
          <w:tcPr>
            <w:tcW w:type="dxa" w:w="1400"/>
            <w:tcBorders>
              <w:top w:val="single" w:color="CBD5E1" w:sz="1"/>
              <w:left w:val="single" w:color="CBD5E1" w:sz="1"/>
              <w:bottom w:val="single" w:color="CBD5E1" w:sz="1"/>
              <w:right w:val="single" w:color="CBD5E1" w:sz="1"/>
            </w:tcBorders>
            <w:shd w:fill="FEF3C7" w:val="clear"/>
            <w:tcMar>
              <w:top w:type="dxa" w:w="100"/>
              <w:left w:type="dxa" w:w="120"/>
              <w:bottom w:type="dxa" w:w="100"/>
              <w:right w:type="dxa" w:w="80"/>
            </w:tcMar>
            <w:vAlign w:val="center"/>
          </w:tcPr>
          <w:p>
            <w:pPr>
              <w:jc w:val="center"/>
            </w:pPr>
            <w:r>
              <w:rPr>
                <w:rFonts w:ascii="Arial" w:cs="Arial" w:eastAsia="Arial" w:hAnsi="Arial"/>
                <w:b/>
                <w:bCs/>
                <w:color w:val="B45309"/>
                <w:sz w:val="18"/>
                <w:szCs w:val="18"/>
              </w:rPr>
              <w:t xml:space="preserve">HIGH</w:t>
            </w:r>
          </w:p>
        </w:tc>
        <w:tc>
          <w:tcPr>
            <w:tcW w:type="dxa" w:w="2200"/>
            <w:tcBorders>
              <w:top w:val="single" w:color="CBD5E1" w:sz="1"/>
              <w:left w:val="single" w:color="CBD5E1" w:sz="1"/>
              <w:bottom w:val="single" w:color="CBD5E1" w:sz="1"/>
              <w:right w:val="single" w:color="CBD5E1" w:sz="1"/>
            </w:tcBorders>
            <w:shd w:fill="FFFFFF" w:val="clear"/>
            <w:tcMar>
              <w:top w:type="dxa" w:w="100"/>
              <w:left w:type="dxa" w:w="140"/>
              <w:bottom w:type="dxa" w:w="100"/>
              <w:right w:type="dxa" w:w="80"/>
            </w:tcMar>
          </w:tcPr>
          <w:p>
            <w:r>
              <w:rPr>
                <w:rFonts w:ascii="Arial" w:cs="Arial" w:eastAsia="Arial" w:hAnsi="Arial"/>
                <w:b/>
                <w:bCs/>
                <w:color w:val="0D1B2A"/>
                <w:sz w:val="20"/>
                <w:szCs w:val="20"/>
              </w:rPr>
              <w:t xml:space="preserve">Intellectual Property Permanent Loss</w:t>
            </w:r>
          </w:p>
        </w:tc>
        <w:tc>
          <w:tcPr>
            <w:tcW w:type="dxa" w:w="5760"/>
            <w:tcBorders>
              <w:top w:val="single" w:color="CBD5E1" w:sz="1"/>
              <w:left w:val="single" w:color="CBD5E1" w:sz="1"/>
              <w:bottom w:val="single" w:color="CBD5E1" w:sz="1"/>
              <w:right w:val="single" w:color="CBD5E1" w:sz="1"/>
            </w:tcBorders>
            <w:shd w:fill="FFFFFF" w:val="clear"/>
            <w:tcMar>
              <w:top w:type="dxa" w:w="100"/>
              <w:left w:type="dxa" w:w="140"/>
              <w:bottom w:type="dxa" w:w="100"/>
              <w:right w:type="dxa" w:w="100"/>
            </w:tcMar>
          </w:tcPr>
          <w:p>
            <w:r>
              <w:rPr>
                <w:rFonts w:ascii="Arial" w:cs="Arial" w:eastAsia="Arial" w:hAnsi="Arial"/>
                <w:color w:val="374151"/>
                <w:sz w:val="19"/>
                <w:szCs w:val="19"/>
              </w:rPr>
              <w:t xml:space="preserve">Source code (30% of sensitive AI exposures), M&amp;A strategy (12.6%), and proprietary formulas submitted to consumer AI platforms may be used for model training or retained indefinitely. Unlike a file leaked to a cloud storage service, there is no mechanism to retrieve, delete, or know what has been generated from submitted intellectual property. The loss is often permanent and undetectable.</w:t>
            </w:r>
          </w:p>
        </w:tc>
      </w:tr>
      <w:tr>
        <w:tc>
          <w:tcPr>
            <w:tcW w:type="dxa" w:w="1400"/>
            <w:tcBorders>
              <w:top w:val="single" w:color="CBD5E1" w:sz="1"/>
              <w:left w:val="single" w:color="CBD5E1" w:sz="1"/>
              <w:bottom w:val="single" w:color="CBD5E1" w:sz="1"/>
              <w:right w:val="single" w:color="CBD5E1" w:sz="1"/>
            </w:tcBorders>
            <w:shd w:fill="FEF3C7" w:val="clear"/>
            <w:tcMar>
              <w:top w:type="dxa" w:w="100"/>
              <w:left w:type="dxa" w:w="120"/>
              <w:bottom w:type="dxa" w:w="100"/>
              <w:right w:type="dxa" w:w="80"/>
            </w:tcMar>
            <w:vAlign w:val="center"/>
          </w:tcPr>
          <w:p>
            <w:pPr>
              <w:jc w:val="center"/>
            </w:pPr>
            <w:r>
              <w:rPr>
                <w:rFonts w:ascii="Arial" w:cs="Arial" w:eastAsia="Arial" w:hAnsi="Arial"/>
                <w:b/>
                <w:bCs/>
                <w:color w:val="B45309"/>
                <w:sz w:val="18"/>
                <w:szCs w:val="18"/>
              </w:rPr>
              <w:t xml:space="preserve">HIGH</w:t>
            </w:r>
          </w:p>
        </w:tc>
        <w:tc>
          <w:tcPr>
            <w:tcW w:type="dxa" w:w="2200"/>
            <w:tcBorders>
              <w:top w:val="single" w:color="CBD5E1" w:sz="1"/>
              <w:left w:val="single" w:color="CBD5E1" w:sz="1"/>
              <w:bottom w:val="single" w:color="CBD5E1" w:sz="1"/>
              <w:right w:val="single" w:color="CBD5E1" w:sz="1"/>
            </w:tcBorders>
            <w:shd w:fill="F1F5F9" w:val="clear"/>
            <w:tcMar>
              <w:top w:type="dxa" w:w="100"/>
              <w:left w:type="dxa" w:w="140"/>
              <w:bottom w:type="dxa" w:w="100"/>
              <w:right w:type="dxa" w:w="80"/>
            </w:tcMar>
          </w:tcPr>
          <w:p>
            <w:r>
              <w:rPr>
                <w:rFonts w:ascii="Arial" w:cs="Arial" w:eastAsia="Arial" w:hAnsi="Arial"/>
                <w:b/>
                <w:bCs/>
                <w:color w:val="0D1B2A"/>
                <w:sz w:val="20"/>
                <w:szCs w:val="20"/>
              </w:rPr>
              <w:t xml:space="preserve">Cyber Insurance Coverage Voids</w:t>
            </w:r>
          </w:p>
        </w:tc>
        <w:tc>
          <w:tcPr>
            <w:tcW w:type="dxa" w:w="5760"/>
            <w:tcBorders>
              <w:top w:val="single" w:color="CBD5E1" w:sz="1"/>
              <w:left w:val="single" w:color="CBD5E1" w:sz="1"/>
              <w:bottom w:val="single" w:color="CBD5E1" w:sz="1"/>
              <w:right w:val="single" w:color="CBD5E1" w:sz="1"/>
            </w:tcBorders>
            <w:shd w:fill="F1F5F9" w:val="clear"/>
            <w:tcMar>
              <w:top w:type="dxa" w:w="100"/>
              <w:left w:type="dxa" w:w="140"/>
              <w:bottom w:type="dxa" w:w="100"/>
              <w:right w:type="dxa" w:w="100"/>
            </w:tcMar>
          </w:tcPr>
          <w:p>
            <w:r>
              <w:rPr>
                <w:rFonts w:ascii="Arial" w:cs="Arial" w:eastAsia="Arial" w:hAnsi="Arial"/>
                <w:color w:val="374151"/>
                <w:sz w:val="19"/>
                <w:szCs w:val="19"/>
              </w:rPr>
              <w:t xml:space="preserve">40% of cyber insurance claims are currently being denied. Insurers are treating the absence of an AI usage policy as evidence of gross negligence, which can void coverage entirely. New ISO exclusions (January 2026) now explicitly cover AI-generated harms. Organizations that suffer a Shadow AI breach and find their claim denied face the full cost  -  averaging $4.63M  -  uninsured.</w:t>
            </w:r>
          </w:p>
        </w:tc>
      </w:tr>
      <w:tr>
        <w:tc>
          <w:tcPr>
            <w:tcW w:type="dxa" w:w="1400"/>
            <w:tcBorders>
              <w:top w:val="single" w:color="CBD5E1" w:sz="1"/>
              <w:left w:val="single" w:color="CBD5E1" w:sz="1"/>
              <w:bottom w:val="single" w:color="CBD5E1" w:sz="1"/>
              <w:right w:val="single" w:color="CBD5E1" w:sz="1"/>
            </w:tcBorders>
            <w:shd w:fill="EFF6FF" w:val="clear"/>
            <w:tcMar>
              <w:top w:type="dxa" w:w="100"/>
              <w:left w:type="dxa" w:w="120"/>
              <w:bottom w:type="dxa" w:w="100"/>
              <w:right w:type="dxa" w:w="80"/>
            </w:tcMar>
            <w:vAlign w:val="center"/>
          </w:tcPr>
          <w:p>
            <w:pPr>
              <w:jc w:val="center"/>
            </w:pPr>
            <w:r>
              <w:rPr>
                <w:rFonts w:ascii="Arial" w:cs="Arial" w:eastAsia="Arial" w:hAnsi="Arial"/>
                <w:b/>
                <w:bCs/>
                <w:color w:val="1B4F8A"/>
                <w:sz w:val="18"/>
                <w:szCs w:val="18"/>
              </w:rPr>
              <w:t xml:space="preserve">MEDIUM</w:t>
            </w:r>
          </w:p>
        </w:tc>
        <w:tc>
          <w:tcPr>
            <w:tcW w:type="dxa" w:w="2200"/>
            <w:tcBorders>
              <w:top w:val="single" w:color="CBD5E1" w:sz="1"/>
              <w:left w:val="single" w:color="CBD5E1" w:sz="1"/>
              <w:bottom w:val="single" w:color="CBD5E1" w:sz="1"/>
              <w:right w:val="single" w:color="CBD5E1" w:sz="1"/>
            </w:tcBorders>
            <w:shd w:fill="FFFFFF" w:val="clear"/>
            <w:tcMar>
              <w:top w:type="dxa" w:w="100"/>
              <w:left w:type="dxa" w:w="140"/>
              <w:bottom w:type="dxa" w:w="100"/>
              <w:right w:type="dxa" w:w="80"/>
            </w:tcMar>
          </w:tcPr>
          <w:p>
            <w:r>
              <w:rPr>
                <w:rFonts w:ascii="Arial" w:cs="Arial" w:eastAsia="Arial" w:hAnsi="Arial"/>
                <w:b/>
                <w:bCs/>
                <w:color w:val="0D1B2A"/>
                <w:sz w:val="20"/>
                <w:szCs w:val="20"/>
              </w:rPr>
              <w:t xml:space="preserve">AI Hallucination Liability</w:t>
            </w:r>
          </w:p>
        </w:tc>
        <w:tc>
          <w:tcPr>
            <w:tcW w:type="dxa" w:w="5760"/>
            <w:tcBorders>
              <w:top w:val="single" w:color="CBD5E1" w:sz="1"/>
              <w:left w:val="single" w:color="CBD5E1" w:sz="1"/>
              <w:bottom w:val="single" w:color="CBD5E1" w:sz="1"/>
              <w:right w:val="single" w:color="CBD5E1" w:sz="1"/>
            </w:tcBorders>
            <w:shd w:fill="FFFFFF" w:val="clear"/>
            <w:tcMar>
              <w:top w:type="dxa" w:w="100"/>
              <w:left w:type="dxa" w:w="140"/>
              <w:bottom w:type="dxa" w:w="100"/>
              <w:right w:type="dxa" w:w="100"/>
            </w:tcMar>
          </w:tcPr>
          <w:p>
            <w:r>
              <w:rPr>
                <w:rFonts w:ascii="Arial" w:cs="Arial" w:eastAsia="Arial" w:hAnsi="Arial"/>
                <w:color w:val="374151"/>
                <w:sz w:val="19"/>
                <w:szCs w:val="19"/>
              </w:rPr>
              <w:t xml:space="preserve">General-purpose LLMs hallucinate on approximately 58% of federal case research queries (Stanford/Yale, 2024). In legal, healthcare, and financial services, employees acting on AI-generated outputs  -  drug interactions, legal citations, investment analysis  -  without verification create professional liability. Over 1,369 court decisions globally have documented AI hallucination consequences.</w:t>
            </w:r>
          </w:p>
        </w:tc>
      </w:tr>
      <w:tr>
        <w:tc>
          <w:tcPr>
            <w:tcW w:type="dxa" w:w="1400"/>
            <w:tcBorders>
              <w:top w:val="single" w:color="CBD5E1" w:sz="1"/>
              <w:left w:val="single" w:color="CBD5E1" w:sz="1"/>
              <w:bottom w:val="single" w:color="CBD5E1" w:sz="1"/>
              <w:right w:val="single" w:color="CBD5E1" w:sz="1"/>
            </w:tcBorders>
            <w:shd w:fill="EFF6FF" w:val="clear"/>
            <w:tcMar>
              <w:top w:type="dxa" w:w="100"/>
              <w:left w:type="dxa" w:w="120"/>
              <w:bottom w:type="dxa" w:w="100"/>
              <w:right w:type="dxa" w:w="80"/>
            </w:tcMar>
            <w:vAlign w:val="center"/>
          </w:tcPr>
          <w:p>
            <w:pPr>
              <w:jc w:val="center"/>
            </w:pPr>
            <w:r>
              <w:rPr>
                <w:rFonts w:ascii="Arial" w:cs="Arial" w:eastAsia="Arial" w:hAnsi="Arial"/>
                <w:b/>
                <w:bCs/>
                <w:color w:val="1B4F8A"/>
                <w:sz w:val="18"/>
                <w:szCs w:val="18"/>
              </w:rPr>
              <w:t xml:space="preserve">MEDIUM</w:t>
            </w:r>
          </w:p>
        </w:tc>
        <w:tc>
          <w:tcPr>
            <w:tcW w:type="dxa" w:w="2200"/>
            <w:tcBorders>
              <w:top w:val="single" w:color="CBD5E1" w:sz="1"/>
              <w:left w:val="single" w:color="CBD5E1" w:sz="1"/>
              <w:bottom w:val="single" w:color="CBD5E1" w:sz="1"/>
              <w:right w:val="single" w:color="CBD5E1" w:sz="1"/>
            </w:tcBorders>
            <w:shd w:fill="F1F5F9" w:val="clear"/>
            <w:tcMar>
              <w:top w:type="dxa" w:w="100"/>
              <w:left w:type="dxa" w:w="140"/>
              <w:bottom w:type="dxa" w:w="100"/>
              <w:right w:type="dxa" w:w="80"/>
            </w:tcMar>
          </w:tcPr>
          <w:p>
            <w:r>
              <w:rPr>
                <w:rFonts w:ascii="Arial" w:cs="Arial" w:eastAsia="Arial" w:hAnsi="Arial"/>
                <w:b/>
                <w:bCs/>
                <w:color w:val="0D1B2A"/>
                <w:sz w:val="20"/>
                <w:szCs w:val="20"/>
              </w:rPr>
              <w:t xml:space="preserve">Supply Chain AI Compromise</w:t>
            </w:r>
          </w:p>
        </w:tc>
        <w:tc>
          <w:tcPr>
            <w:tcW w:type="dxa" w:w="5760"/>
            <w:tcBorders>
              <w:top w:val="single" w:color="CBD5E1" w:sz="1"/>
              <w:left w:val="single" w:color="CBD5E1" w:sz="1"/>
              <w:bottom w:val="single" w:color="CBD5E1" w:sz="1"/>
              <w:right w:val="single" w:color="CBD5E1" w:sz="1"/>
            </w:tcBorders>
            <w:shd w:fill="F1F5F9" w:val="clear"/>
            <w:tcMar>
              <w:top w:type="dxa" w:w="100"/>
              <w:left w:type="dxa" w:w="140"/>
              <w:bottom w:type="dxa" w:w="100"/>
              <w:right w:type="dxa" w:w="100"/>
            </w:tcMar>
          </w:tcPr>
          <w:p>
            <w:r>
              <w:rPr>
                <w:rFonts w:ascii="Arial" w:cs="Arial" w:eastAsia="Arial" w:hAnsi="Arial"/>
                <w:color w:val="374151"/>
                <w:sz w:val="19"/>
                <w:szCs w:val="19"/>
              </w:rPr>
              <w:t xml:space="preserve">30% of breaches affecting financial institutions in 2025 involved third-party supply chain compromise (Help Net Security). As employees connect personal AI agents to corporate systems via API and OAuth, the attack surface expands to include every AI tool's vendor, their infrastructure providers, and their downstream dependencies  -  none of which appear in the organization's approved vendor list.</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1B2A" w:sz="1"/>
              <w:left w:val="single" w:color="0D1B2A" w:sz="1"/>
              <w:bottom w:val="single" w:color="0D1B2A" w:sz="1"/>
              <w:right w:val="single" w:color="0D1B2A" w:sz="1"/>
            </w:tcBorders>
            <w:shd w:fill="0D1B2A" w:val="clear"/>
            <w:tcMar>
              <w:top w:type="dxa" w:w="160"/>
              <w:left w:type="dxa" w:w="240"/>
              <w:bottom w:type="dxa" w:w="160"/>
              <w:right w:type="dxa" w:w="240"/>
            </w:tcMar>
          </w:tcPr>
          <w:p>
            <w:pPr>
              <w:spacing w:after="20"/>
            </w:pPr>
            <w:r>
              <w:rPr>
                <w:rFonts w:ascii="Arial" w:cs="Arial" w:eastAsia="Arial" w:hAnsi="Arial"/>
                <w:b/>
                <w:bCs/>
                <w:color w:val="93C5FD"/>
                <w:sz w:val="18"/>
                <w:szCs w:val="18"/>
              </w:rPr>
              <w:t xml:space="preserve">SECTION 4  OF  4</w:t>
            </w:r>
          </w:p>
          <w:p>
            <w:pPr>
              <w:spacing w:after="16"/>
            </w:pPr>
            <w:r>
              <w:rPr>
                <w:rFonts w:ascii="Arial" w:cs="Arial" w:eastAsia="Arial" w:hAnsi="Arial"/>
                <w:b/>
                <w:bCs/>
                <w:color w:val="FFFFFF"/>
                <w:sz w:val="32"/>
                <w:szCs w:val="32"/>
              </w:rPr>
              <w:t xml:space="preserve">14 Recommendations for Managed Service Providers</w:t>
            </w:r>
          </w:p>
          <w:p>
            <w:r>
              <w:rPr>
                <w:rFonts w:ascii="Arial" w:cs="Arial" w:eastAsia="Arial" w:hAnsi="Arial"/>
                <w:i/>
                <w:iCs/>
                <w:color w:val="94A3B8"/>
                <w:sz w:val="19"/>
                <w:szCs w:val="19"/>
              </w:rPr>
              <w:t xml:space="preserve">Specific actions MSPs should take to protect clients, capture the market opportunity, and build Shadow AI services</w:t>
            </w:r>
          </w:p>
        </w:tc>
      </w:tr>
    </w:tbl>
    <w:p>
      <w:pPr>
        <w:spacing w:after="60" w:before="120"/>
      </w:pPr>
      <w:r>
        <w:t xml:space="preserve"/>
      </w:r>
    </w:p>
    <w:p>
      <w:pPr>
        <w:spacing w:after="60" w:before="60"/>
      </w:pPr>
      <w:r>
        <w:rPr>
          <w:rFonts w:ascii="Arial" w:cs="Arial" w:eastAsia="Arial" w:hAnsi="Arial"/>
          <w:b/>
          <w:bCs/>
          <w:color w:val="0D1B2A"/>
          <w:sz w:val="24"/>
          <w:szCs w:val="24"/>
        </w:rPr>
        <w:t xml:space="preserve">The MSP Opportunity</w:t>
      </w:r>
    </w:p>
    <w:p>
      <w:pPr>
        <w:spacing w:after="100"/>
      </w:pPr>
      <w:r>
        <w:rPr>
          <w:rFonts w:ascii="Arial" w:cs="Arial" w:eastAsia="Arial" w:hAnsi="Arial"/>
          <w:color w:val="374151"/>
          <w:sz w:val="20"/>
          <w:szCs w:val="20"/>
        </w:rPr>
        <w:t xml:space="preserve">Shadow AI is the fastest-growing MSP service opportunity in 2026. The global managed security market is growing from $93 billion in 2025 to $106 billion in 2026  -  a 14.4% increase driven primarily by AI risk. 88% of SMBs already depend on MSP services, but the majority of those clients have no Shadow AI governance. MSPs that build Shadow AI detection and management into their service stack are positioned to expand wallet share, improve client retention, and enter new compliance-driven conversations with existing accounts. The question is not whether clients need this. It is whether your MSP offers it before a competitor does.</w:t>
      </w:r>
    </w:p>
    <w:p>
      <w:pPr>
        <w:spacing w:after="80" w:before="80"/>
      </w:pPr>
      <w:r>
        <w:rPr>
          <w:rFonts w:ascii="Arial" w:cs="Arial" w:eastAsia="Arial" w:hAnsi="Arial"/>
          <w:b/>
          <w:bCs/>
          <w:color w:val="B91C1C"/>
          <w:sz w:val="22"/>
          <w:szCs w:val="22"/>
        </w:rPr>
        <w:t xml:space="preserve">Immediate Actions (Deploy within 30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01</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Run Shadow AI Discovery Across All Client Environments</w:t>
            </w:r>
            <w:r>
              <w:rPr>
                <w:rFonts w:ascii="Arial" w:cs="Arial" w:eastAsia="Arial" w:hAnsi="Arial"/>
              </w:rPr>
              <w:t xml:space="preserve">   </w:t>
            </w:r>
            <w:r>
              <w:rPr>
                <w:rFonts w:ascii="Arial" w:cs="Arial" w:eastAsia="Arial" w:hAnsi="Arial"/>
                <w:b/>
                <w:bCs/>
                <w:color w:val="B91C1C"/>
                <w:sz w:val="17"/>
                <w:szCs w:val="17"/>
              </w:rPr>
              <w:t xml:space="preserve">Immediate</w:t>
            </w:r>
          </w:p>
          <w:p>
            <w:r>
              <w:rPr>
                <w:rFonts w:ascii="Arial" w:cs="Arial" w:eastAsia="Arial" w:hAnsi="Arial"/>
                <w:color w:val="374151"/>
                <w:sz w:val="20"/>
                <w:szCs w:val="20"/>
              </w:rPr>
              <w:t xml:space="preserve">Before writing policy or recommending tools, MSPs must know what AI tools are actually in use across client tenants. Deploy network monitoring for AI API endpoints, audit OAuth-connected applications in Google Workspace and Microsoft 365, review browser extensions on managed devices, and check SaaS spend for unauthorized AI subscriptions. The average enterprise has 1,200 unauthorized applications  -  clients will be surprised by what you find. Present findings as a Shadow AI Exposure Report.</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02</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Add Shadow AI to the Cybersecurity Conversation at Every Client QBR</w:t>
            </w:r>
            <w:r>
              <w:rPr>
                <w:rFonts w:ascii="Arial" w:cs="Arial" w:eastAsia="Arial" w:hAnsi="Arial"/>
              </w:rPr>
              <w:t xml:space="preserve">   </w:t>
            </w:r>
            <w:r>
              <w:rPr>
                <w:rFonts w:ascii="Arial" w:cs="Arial" w:eastAsia="Arial" w:hAnsi="Arial"/>
                <w:b/>
                <w:bCs/>
                <w:color w:val="B91C1C"/>
                <w:sz w:val="17"/>
                <w:szCs w:val="17"/>
              </w:rPr>
              <w:t xml:space="preserve">Immediate</w:t>
            </w:r>
          </w:p>
          <w:p>
            <w:r>
              <w:rPr>
                <w:rFonts w:ascii="Arial" w:cs="Arial" w:eastAsia="Arial" w:hAnsi="Arial"/>
                <w:color w:val="374151"/>
                <w:sz w:val="20"/>
                <w:szCs w:val="20"/>
              </w:rPr>
              <w:t xml:space="preserve">Shadow AI needs to be on the agenda at every quarterly business review, positioned alongside ransomware and phishing as a primary risk. Lead with client-specific data: how many AI tools were detected, what data categories were exposed, what their breach cost exposure looks like at $4.63M average. MSPs that bring this data to clients own the AI governance conversation before a breach forces it.</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03</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Audit Client Cyber Insurance Policies for Shadow AI Coverage Gaps</w:t>
            </w:r>
            <w:r>
              <w:rPr>
                <w:rFonts w:ascii="Arial" w:cs="Arial" w:eastAsia="Arial" w:hAnsi="Arial"/>
              </w:rPr>
              <w:t xml:space="preserve">   </w:t>
            </w:r>
            <w:r>
              <w:rPr>
                <w:rFonts w:ascii="Arial" w:cs="Arial" w:eastAsia="Arial" w:hAnsi="Arial"/>
                <w:b/>
                <w:bCs/>
                <w:color w:val="B91C1C"/>
                <w:sz w:val="17"/>
                <w:szCs w:val="17"/>
              </w:rPr>
              <w:t xml:space="preserve">Immediate</w:t>
            </w:r>
          </w:p>
          <w:p>
            <w:r>
              <w:rPr>
                <w:rFonts w:ascii="Arial" w:cs="Arial" w:eastAsia="Arial" w:hAnsi="Arial"/>
                <w:color w:val="374151"/>
                <w:sz w:val="20"/>
                <w:szCs w:val="20"/>
              </w:rPr>
              <w:t xml:space="preserve">40% of claims are being denied. MSPs serving clients with cyber insurance should review current policy language for AI-related exclusions, confirm whether absence of an AI usage policy creates a gross negligence clause, and document this as a client risk. Connect clients with brokers who understand the 2026 AI Act exclusions. This conversation demonstrates MSP value and prevents a denial surprise post-breach.</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04</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Deploy Browser-Layer AI Monitoring on All Managed Endpoints</w:t>
            </w:r>
            <w:r>
              <w:rPr>
                <w:rFonts w:ascii="Arial" w:cs="Arial" w:eastAsia="Arial" w:hAnsi="Arial"/>
              </w:rPr>
              <w:t xml:space="preserve">   </w:t>
            </w:r>
            <w:r>
              <w:rPr>
                <w:rFonts w:ascii="Arial" w:cs="Arial" w:eastAsia="Arial" w:hAnsi="Arial"/>
                <w:b/>
                <w:bCs/>
                <w:color w:val="B91C1C"/>
                <w:sz w:val="17"/>
                <w:szCs w:val="17"/>
              </w:rPr>
              <w:t xml:space="preserve">Immediate</w:t>
            </w:r>
          </w:p>
          <w:p>
            <w:r>
              <w:rPr>
                <w:rFonts w:ascii="Arial" w:cs="Arial" w:eastAsia="Arial" w:hAnsi="Arial"/>
                <w:color w:val="374151"/>
                <w:sz w:val="20"/>
                <w:szCs w:val="20"/>
              </w:rPr>
              <w:t xml:space="preserve">Network-layer controls miss browser-based AI sessions on personal accounts and personal devices. MSPs need browser-layer visibility  -  tools that can see what AI tools are being accessed through managed browsers regardless of network. This is the control gap that explains why 60% of employees still use personal AI accounts even at organizations that have blocked AI at the network. Browser-layer monitoring is the 2026 requirement.</w:t>
            </w:r>
          </w:p>
        </w:tc>
      </w:tr>
    </w:tbl>
    <w:p>
      <w:pPr>
        <w:spacing w:after="60" w:before="120"/>
      </w:pPr>
      <w:r>
        <w:t xml:space="preserve"/>
      </w:r>
    </w:p>
    <w:p>
      <w:pPr>
        <w:spacing w:after="80" w:before="80"/>
      </w:pPr>
      <w:r>
        <w:rPr>
          <w:rFonts w:ascii="Arial" w:cs="Arial" w:eastAsia="Arial" w:hAnsi="Arial"/>
          <w:b/>
          <w:bCs/>
          <w:color w:val="B45309"/>
          <w:sz w:val="22"/>
          <w:szCs w:val="22"/>
        </w:rPr>
        <w:t xml:space="preserve">Short-Term Actions (30-60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05</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Build a Tiered Shadow AI Policy Template for Each Client Vertical</w:t>
            </w:r>
            <w:r>
              <w:rPr>
                <w:rFonts w:ascii="Arial" w:cs="Arial" w:eastAsia="Arial" w:hAnsi="Arial"/>
              </w:rPr>
              <w:t xml:space="preserve">   </w:t>
            </w:r>
            <w:r>
              <w:rPr>
                <w:rFonts w:ascii="Arial" w:cs="Arial" w:eastAsia="Arial" w:hAnsi="Arial"/>
                <w:b/>
                <w:bCs/>
                <w:color w:val="B45309"/>
                <w:sz w:val="17"/>
                <w:szCs w:val="17"/>
              </w:rPr>
              <w:t xml:space="preserve">30-60 Days</w:t>
            </w:r>
          </w:p>
          <w:p>
            <w:r>
              <w:rPr>
                <w:rFonts w:ascii="Arial" w:cs="Arial" w:eastAsia="Arial" w:hAnsi="Arial"/>
                <w:color w:val="374151"/>
                <w:sz w:val="20"/>
                <w:szCs w:val="20"/>
              </w:rPr>
              <w:t xml:space="preserve">Generic AI acceptable use policies fail because they do not account for the specific data types and regulatory requirements of each industry. MSPs should build vertical-specific templates for healthcare (HIPAA-specific, BAA requirements), financial services (GLBA, SEC disclosure awareness), legal (attorney-client privilege, ABA Opinion 512), and general business. A ready-to-customize policy that clients can adopt and acknowledge within 30 days is a high-value deliverable.</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06</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Create a Shadow AI Tool Registry Service for Clients</w:t>
            </w:r>
            <w:r>
              <w:rPr>
                <w:rFonts w:ascii="Arial" w:cs="Arial" w:eastAsia="Arial" w:hAnsi="Arial"/>
              </w:rPr>
              <w:t xml:space="preserve">   </w:t>
            </w:r>
            <w:r>
              <w:rPr>
                <w:rFonts w:ascii="Arial" w:cs="Arial" w:eastAsia="Arial" w:hAnsi="Arial"/>
                <w:b/>
                <w:bCs/>
                <w:color w:val="B45309"/>
                <w:sz w:val="17"/>
                <w:szCs w:val="17"/>
              </w:rPr>
              <w:t xml:space="preserve">30-60 Days</w:t>
            </w:r>
          </w:p>
          <w:p>
            <w:r>
              <w:rPr>
                <w:rFonts w:ascii="Arial" w:cs="Arial" w:eastAsia="Arial" w:hAnsi="Arial"/>
                <w:color w:val="374151"/>
                <w:sz w:val="20"/>
                <w:szCs w:val="20"/>
              </w:rPr>
              <w:t xml:space="preserve">Clients need an AI Tool Registry  -  a living list of approved, under-review, and prohibited AI tools, accessible to all employees. MSPs can build and maintain this as a managed service: evaluate new tools against a standard security checklist, confirm Data Processing Agreements or Business Associate Agreements, verify SOC 2 compliance, and update the registry as vendor terms change. Quarterly registry reviews keep clients current as the AI tool landscape shifts weekly.</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07</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Deploy DLP Policies Specifically Configured for AI Data Exposure</w:t>
            </w:r>
            <w:r>
              <w:rPr>
                <w:rFonts w:ascii="Arial" w:cs="Arial" w:eastAsia="Arial" w:hAnsi="Arial"/>
              </w:rPr>
              <w:t xml:space="preserve">   </w:t>
            </w:r>
            <w:r>
              <w:rPr>
                <w:rFonts w:ascii="Arial" w:cs="Arial" w:eastAsia="Arial" w:hAnsi="Arial"/>
                <w:b/>
                <w:bCs/>
                <w:color w:val="B45309"/>
                <w:sz w:val="17"/>
                <w:szCs w:val="17"/>
              </w:rPr>
              <w:t xml:space="preserve">30-60 Days</w:t>
            </w:r>
          </w:p>
          <w:p>
            <w:r>
              <w:rPr>
                <w:rFonts w:ascii="Arial" w:cs="Arial" w:eastAsia="Arial" w:hAnsi="Arial"/>
                <w:color w:val="374151"/>
                <w:sz w:val="20"/>
                <w:szCs w:val="20"/>
              </w:rPr>
              <w:t xml:space="preserve">Traditional DLP configurations were built to prevent data from leaving the organization through email and file transfer. AI exposure requires additional rules: detect when PII, PHI, source code, or financial records are transmitted to AI API endpoints. Microsoft Purview, Netskope, and similar tools support AI-specific DLP policies. MSPs that configure and manage these for clients provide a control that most clients cannot build internally.</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08</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Offer Approved AI Alternative Deployment as a Managed Service</w:t>
            </w:r>
            <w:r>
              <w:rPr>
                <w:rFonts w:ascii="Arial" w:cs="Arial" w:eastAsia="Arial" w:hAnsi="Arial"/>
              </w:rPr>
              <w:t xml:space="preserve">   </w:t>
            </w:r>
            <w:r>
              <w:rPr>
                <w:rFonts w:ascii="Arial" w:cs="Arial" w:eastAsia="Arial" w:hAnsi="Arial"/>
                <w:b/>
                <w:bCs/>
                <w:color w:val="B45309"/>
                <w:sz w:val="17"/>
                <w:szCs w:val="17"/>
              </w:rPr>
              <w:t xml:space="preserve">30-60 Days</w:t>
            </w:r>
          </w:p>
          <w:p>
            <w:r>
              <w:rPr>
                <w:rFonts w:ascii="Arial" w:cs="Arial" w:eastAsia="Arial" w:hAnsi="Arial"/>
                <w:color w:val="374151"/>
                <w:sz w:val="20"/>
                <w:szCs w:val="20"/>
              </w:rPr>
              <w:t xml:space="preserve">The single most effective Shadow AI intervention is providing employees with approved AI tools that meet their actual needs. When organizations provide capable approved alternatives, unauthorized usage drops 89%. MSPs can offer enterprise AI deployment  -  Microsoft 365 Copilot, approved coding assistants, AI document tools  -  as a bundled managed service that includes the governance infrastructure clients cannot build alone.</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09</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Train Client Employees with AI-Specific Security Awareness Content</w:t>
            </w:r>
            <w:r>
              <w:rPr>
                <w:rFonts w:ascii="Arial" w:cs="Arial" w:eastAsia="Arial" w:hAnsi="Arial"/>
              </w:rPr>
              <w:t xml:space="preserve">   </w:t>
            </w:r>
            <w:r>
              <w:rPr>
                <w:rFonts w:ascii="Arial" w:cs="Arial" w:eastAsia="Arial" w:hAnsi="Arial"/>
                <w:b/>
                <w:bCs/>
                <w:color w:val="B45309"/>
                <w:sz w:val="17"/>
                <w:szCs w:val="17"/>
              </w:rPr>
              <w:t xml:space="preserve">30-60 Days</w:t>
            </w:r>
          </w:p>
          <w:p>
            <w:r>
              <w:rPr>
                <w:rFonts w:ascii="Arial" w:cs="Arial" w:eastAsia="Arial" w:hAnsi="Arial"/>
                <w:color w:val="374151"/>
                <w:sz w:val="20"/>
                <w:szCs w:val="20"/>
              </w:rPr>
              <w:t xml:space="preserve">Generic security awareness training does not address Shadow AI. MSPs should deploy training modules that cover: what data types must never enter public AI tools, how to identify whether a tool is approved, real incident examples (Samsung, Community Bank SEC filing), and the specific regulatory consequences in the client's industry. Training reduces incidents by 40% and is a licensable, recurring revenue service for MSPs.</w:t>
            </w:r>
          </w:p>
        </w:tc>
      </w:tr>
    </w:tbl>
    <w:p>
      <w:pPr>
        <w:spacing w:after="60" w:before="120"/>
      </w:pPr>
      <w:r>
        <w:t xml:space="preserve"/>
      </w:r>
    </w:p>
    <w:p>
      <w:pPr>
        <w:spacing w:after="80" w:before="80"/>
      </w:pPr>
      <w:r>
        <w:rPr>
          <w:rFonts w:ascii="Arial" w:cs="Arial" w:eastAsia="Arial" w:hAnsi="Arial"/>
          <w:b/>
          <w:bCs/>
          <w:color w:val="0E7490"/>
          <w:sz w:val="22"/>
          <w:szCs w:val="22"/>
        </w:rPr>
        <w:t xml:space="preserve">Ongoing Service Layer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10</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Monitor OAuth-Connected AI Agents Across All Client Microsoft 365 and Google Workspace Tenants</w:t>
            </w:r>
            <w:r>
              <w:rPr>
                <w:rFonts w:ascii="Arial" w:cs="Arial" w:eastAsia="Arial" w:hAnsi="Arial"/>
              </w:rPr>
              <w:t xml:space="preserve">   </w:t>
            </w:r>
            <w:r>
              <w:rPr>
                <w:rFonts w:ascii="Arial" w:cs="Arial" w:eastAsia="Arial" w:hAnsi="Arial"/>
                <w:b/>
                <w:bCs/>
                <w:color w:val="0E7490"/>
                <w:sz w:val="17"/>
                <w:szCs w:val="17"/>
              </w:rPr>
              <w:t xml:space="preserve">Ongoing</w:t>
            </w:r>
          </w:p>
          <w:p>
            <w:r>
              <w:rPr>
                <w:rFonts w:ascii="Arial" w:cs="Arial" w:eastAsia="Arial" w:hAnsi="Arial"/>
                <w:color w:val="374151"/>
                <w:sz w:val="20"/>
                <w:szCs w:val="20"/>
              </w:rPr>
              <w:t xml:space="preserve">AI agents connecting to enterprise systems via OAuth represent the fastest-growing and most dangerous Shadow AI vector. MSPs should maintain an inventory of all OAuth-connected applications across managed tenants, flag AI-capable connections, review permission scopes, and revoke unauthorized agent access. Microsoft 365's Shadow AI detection page (launched June 2026) is a starting point for M365 tenants. This should be a standing monthly service deliverable.</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11</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Provide Quarterly Shadow AI Exposure Reports to All Managed Clients</w:t>
            </w:r>
            <w:r>
              <w:rPr>
                <w:rFonts w:ascii="Arial" w:cs="Arial" w:eastAsia="Arial" w:hAnsi="Arial"/>
              </w:rPr>
              <w:t xml:space="preserve">   </w:t>
            </w:r>
            <w:r>
              <w:rPr>
                <w:rFonts w:ascii="Arial" w:cs="Arial" w:eastAsia="Arial" w:hAnsi="Arial"/>
                <w:b/>
                <w:bCs/>
                <w:color w:val="0E7490"/>
                <w:sz w:val="17"/>
                <w:szCs w:val="17"/>
              </w:rPr>
              <w:t xml:space="preserve">Ongoing</w:t>
            </w:r>
          </w:p>
          <w:p>
            <w:r>
              <w:rPr>
                <w:rFonts w:ascii="Arial" w:cs="Arial" w:eastAsia="Arial" w:hAnsi="Arial"/>
                <w:color w:val="374151"/>
                <w:sz w:val="20"/>
                <w:szCs w:val="20"/>
              </w:rPr>
              <w:t xml:space="preserve">Clients need quantified evidence of their Shadow AI posture  -  and MSPs that produce this data own the governance conversation. Quarterly reports should include: number of AI tools detected, new tools identified since last quarter, data policy violations logged, incident count, employee training completion rate, and tool registry updates. Presented as an executive summary, this report positions the MSP as a strategic AI governance partner.</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12</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Track Regulatory Changes and Update Client Policies Automatically</w:t>
            </w:r>
            <w:r>
              <w:rPr>
                <w:rFonts w:ascii="Arial" w:cs="Arial" w:eastAsia="Arial" w:hAnsi="Arial"/>
              </w:rPr>
              <w:t xml:space="preserve">   </w:t>
            </w:r>
            <w:r>
              <w:rPr>
                <w:rFonts w:ascii="Arial" w:cs="Arial" w:eastAsia="Arial" w:hAnsi="Arial"/>
                <w:b/>
                <w:bCs/>
                <w:color w:val="0E7490"/>
                <w:sz w:val="17"/>
                <w:szCs w:val="17"/>
              </w:rPr>
              <w:t xml:space="preserve">Ongoing</w:t>
            </w:r>
          </w:p>
          <w:p>
            <w:r>
              <w:rPr>
                <w:rFonts w:ascii="Arial" w:cs="Arial" w:eastAsia="Arial" w:hAnsi="Arial"/>
                <w:color w:val="374151"/>
                <w:sz w:val="20"/>
                <w:szCs w:val="20"/>
              </w:rPr>
              <w:t xml:space="preserve">The regulatory landscape around Shadow AI is evolving weekly. New state AI laws, federal guidance, EU AI Act enforcement actions, and sector-specific rules require ongoing policy updates. MSPs that provide regulatory monitoring and automatic policy refresh as a managed service remove a significant compliance burden from clients. For multi-state clients, this includes tracking the now-35+ state bar AI guidance rules and sector-specific requirements.</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13</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Offer vCISO-Level AI Governance for SMB Clients</w:t>
            </w:r>
            <w:r>
              <w:rPr>
                <w:rFonts w:ascii="Arial" w:cs="Arial" w:eastAsia="Arial" w:hAnsi="Arial"/>
              </w:rPr>
              <w:t xml:space="preserve">   </w:t>
            </w:r>
            <w:r>
              <w:rPr>
                <w:rFonts w:ascii="Arial" w:cs="Arial" w:eastAsia="Arial" w:hAnsi="Arial"/>
                <w:b/>
                <w:bCs/>
                <w:color w:val="0E7490"/>
                <w:sz w:val="17"/>
                <w:szCs w:val="17"/>
              </w:rPr>
              <w:t xml:space="preserve">Ongoing</w:t>
            </w:r>
          </w:p>
          <w:p>
            <w:r>
              <w:rPr>
                <w:rFonts w:ascii="Arial" w:cs="Arial" w:eastAsia="Arial" w:hAnsi="Arial"/>
                <w:color w:val="374151"/>
                <w:sz w:val="20"/>
                <w:szCs w:val="20"/>
              </w:rPr>
              <w:t xml:space="preserve">vCISO adoption rose 319% in 2025, driven by AI risk. SMBs cannot afford a full-time CISO to govern AI risk, but they face the same regulatory exposure as enterprises. MSPs that package Shadow AI governance into vCISO services  -  board briefings, policy ownership, incident response planning, regulatory liaison  -  capture a high-margin, high-retention service. Specialized MSPs report profit margins 30% higher than generalists. AI governance is the clearest path to specialization.</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0D1B2A" w:sz="1"/>
              <w:left w:val="single" w:color="0D1B2A" w:sz="1"/>
              <w:bottom w:val="single" w:color="0D1B2A" w:sz="1"/>
              <w:right w:val="single" w:color="0D1B2A" w:sz="1"/>
            </w:tcBorders>
            <w:shd w:fill="0D1B2A" w:val="clear"/>
            <w:tcMar>
              <w:top w:type="dxa" w:w="0"/>
              <w:left w:type="dxa" w:w="0"/>
              <w:bottom w:type="dxa" w:w="0"/>
              <w:right w:type="dxa" w:w="0"/>
            </w:tcMar>
            <w:vAlign w:val="center"/>
          </w:tcPr>
          <w:p>
            <w:pPr>
              <w:jc w:val="center"/>
            </w:pPr>
            <w:r>
              <w:rPr>
                <w:rFonts w:ascii="Arial" w:cs="Arial" w:eastAsia="Arial" w:hAnsi="Arial"/>
                <w:b/>
                <w:bCs/>
                <w:color w:val="FFFFFF"/>
                <w:sz w:val="26"/>
                <w:szCs w:val="26"/>
              </w:rPr>
              <w:t xml:space="preserve">14</w:t>
            </w:r>
          </w:p>
        </w:tc>
        <w:tc>
          <w:tcPr>
            <w:tcW w:type="dxa" w:w="8880"/>
            <w:tcBorders>
              <w:top w:val="single" w:color="CBD5E1" w:sz="1"/>
              <w:left w:val="single" w:color="CBD5E1" w:sz="1"/>
              <w:bottom w:val="single" w:color="CBD5E1" w:sz="1"/>
              <w:right w:val="single" w:color="CBD5E1" w:sz="1"/>
            </w:tcBorders>
            <w:shd w:fill="F1F5F9" w:val="clear"/>
            <w:tcMar>
              <w:top w:type="dxa" w:w="140"/>
              <w:left w:type="dxa" w:w="180"/>
              <w:bottom w:type="dxa" w:w="140"/>
              <w:right w:type="dxa" w:w="160"/>
            </w:tcMar>
          </w:tcPr>
          <w:p>
            <w:pPr>
              <w:spacing w:after="60"/>
            </w:pPr>
            <w:r>
              <w:rPr>
                <w:rFonts w:ascii="Arial" w:cs="Arial" w:eastAsia="Arial" w:hAnsi="Arial"/>
                <w:b/>
                <w:bCs/>
                <w:color w:val="0D1B2A"/>
                <w:sz w:val="22"/>
                <w:szCs w:val="22"/>
              </w:rPr>
              <w:t xml:space="preserve">Build Deepfake-Resistant Authorization Protocols for Finance and Executive Clients</w:t>
            </w:r>
            <w:r>
              <w:rPr>
                <w:rFonts w:ascii="Arial" w:cs="Arial" w:eastAsia="Arial" w:hAnsi="Arial"/>
              </w:rPr>
              <w:t xml:space="preserve">   </w:t>
            </w:r>
            <w:r>
              <w:rPr>
                <w:rFonts w:ascii="Arial" w:cs="Arial" w:eastAsia="Arial" w:hAnsi="Arial"/>
                <w:b/>
                <w:bCs/>
                <w:color w:val="0E7490"/>
                <w:sz w:val="17"/>
                <w:szCs w:val="17"/>
              </w:rPr>
              <w:t xml:space="preserve">Ongoing</w:t>
            </w:r>
          </w:p>
          <w:p>
            <w:r>
              <w:rPr>
                <w:rFonts w:ascii="Arial" w:cs="Arial" w:eastAsia="Arial" w:hAnsi="Arial"/>
                <w:color w:val="374151"/>
                <w:sz w:val="20"/>
                <w:szCs w:val="20"/>
              </w:rPr>
              <w:t xml:space="preserve">The Arup deepfake incident ($25.6M lost) demonstrated that visual verification can no longer be trusted. MSPs serving financial services, legal, or any client with executive wire transfer authority should recommend and implement out-of-band verification protocols: code-word systems for authorizing transactions, independent callback procedures on known numbers, and multi-party approval workflows for transfers above defined thresholds. Add deepfake scenario coverage to security awareness training.</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1B2A" w:sz="1"/>
              <w:left w:val="single" w:color="0D1B2A" w:sz="1"/>
              <w:bottom w:val="single" w:color="0D1B2A" w:sz="1"/>
              <w:right w:val="single" w:color="0D1B2A" w:sz="1"/>
            </w:tcBorders>
            <w:shd w:fill="0D1B2A" w:val="clear"/>
            <w:tcMar>
              <w:top w:type="dxa" w:w="280"/>
              <w:left w:type="dxa" w:w="320"/>
              <w:bottom w:type="dxa" w:w="280"/>
              <w:right w:type="dxa" w:w="320"/>
            </w:tcMar>
          </w:tcPr>
          <w:p>
            <w:pPr>
              <w:spacing w:after="80"/>
              <w:jc w:val="center"/>
            </w:pPr>
            <w:r>
              <w:rPr>
                <w:rFonts w:ascii="Arial" w:cs="Arial" w:eastAsia="Arial" w:hAnsi="Arial"/>
                <w:b/>
                <w:bCs/>
                <w:color w:val="FFFFFF"/>
                <w:sz w:val="30"/>
                <w:szCs w:val="30"/>
              </w:rPr>
              <w:t xml:space="preserve">The Window Is Open  -  But It Is Closing</w:t>
            </w:r>
          </w:p>
          <w:p>
            <w:pPr>
              <w:spacing w:after="100"/>
              <w:jc w:val="center"/>
            </w:pPr>
            <w:r>
              <w:rPr>
                <w:rFonts w:ascii="Arial" w:cs="Arial" w:eastAsia="Arial" w:hAnsi="Arial"/>
                <w:color w:val="CBD5E1"/>
                <w:sz w:val="20"/>
                <w:szCs w:val="20"/>
              </w:rPr>
              <w:t xml:space="preserve">Shadow AI is the defining enterprise risk of 2026. It is also the defining MSP opportunity. The 63% of organizations without AI governance policies represent an addressable market that did not exist 18 months ago. The MSPs that move first  -  with discovery tools, policy templates, browser-layer controls, approved alternatives, and board-ready reporting  -  will own the AI governance conversation for the next five years.</w:t>
            </w:r>
          </w:p>
          <w:p>
            <w:pPr>
              <w:jc w:val="center"/>
            </w:pPr>
            <w:r>
              <w:rPr>
                <w:rFonts w:ascii="Arial" w:cs="Arial" w:eastAsia="Arial" w:hAnsi="Arial"/>
                <w:b/>
                <w:bCs/>
                <w:i/>
                <w:iCs/>
                <w:color w:val="FCD34D"/>
                <w:sz w:val="21"/>
                <w:szCs w:val="21"/>
              </w:rPr>
              <w:t xml:space="preserve">The ones that wait will manage the consequences of not having moved.</w:t>
            </w:r>
          </w:p>
        </w:tc>
      </w:tr>
    </w:tbl>
    <w:p>
      <w:pPr>
        <w:spacing w:after="6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F1F5F9" w:val="clear"/>
            <w:tcMar>
              <w:top w:type="dxa" w:w="140"/>
              <w:left w:type="dxa" w:w="220"/>
              <w:bottom w:type="dxa" w:w="140"/>
              <w:right w:type="dxa" w:w="220"/>
            </w:tcMar>
          </w:tcPr>
          <w:p>
            <w:pPr>
              <w:spacing w:after="50"/>
            </w:pPr>
            <w:r>
              <w:rPr>
                <w:rFonts w:ascii="Arial" w:cs="Arial" w:eastAsia="Arial" w:hAnsi="Arial"/>
                <w:b/>
                <w:bCs/>
                <w:color w:val="0D1B2A"/>
                <w:sz w:val="20"/>
                <w:szCs w:val="20"/>
              </w:rPr>
              <w:t xml:space="preserve">About This Report</w:t>
            </w:r>
          </w:p>
          <w:p>
            <w:pPr>
              <w:spacing w:after="60"/>
            </w:pPr>
            <w:r>
              <w:rPr>
                <w:rFonts w:ascii="Arial" w:cs="Arial" w:eastAsia="Arial" w:hAnsi="Arial"/>
                <w:color w:val="4B5563"/>
                <w:sz w:val="18"/>
                <w:szCs w:val="18"/>
              </w:rPr>
              <w:t xml:space="preserve">The 2026 Shadow AI State of the Workplace Report was produced by ShadowAIGuide.com, an independent educational resource on unauthorized AI risk, governance, and prevention. All statistics are sourced from named primary research. Sources include: IBM Cost of a Data Breach Report 2025, Cisco AI Readiness Index 2025, Cisco Cybersecurity Readiness Index 2025, Palo Alto Networks State of Cloud Security 2025 and Unit 42 Research, Microsoft Work Trend Index 2024 / 2025, UpGuard Shadow AI Report November 2025, Reco AI State of Shadow AI 2025, Netskope Cloud and Threat Report 2026, CrowdStrike Global Threat Report 2026, Gartner AI Risk Management Research 2025 / 2026, Salesforce Workforce AI Survey 2026, Deloitte AI Governance Study 2025, KPMG EU AI Act Readiness Survey 2025, Cyberhaven Enterprise AI Exposure Report, Harmonic Security Research 2025, Stanford AI Index 2025, Healthcare Brew Survey 2026, and Awareways Shadow AI Trend Report 2025.</w:t>
            </w:r>
          </w:p>
          <w:p>
            <w:pPr>
              <w:spacing w:after="50"/>
            </w:pPr>
            <w:r>
              <w:rPr>
                <w:rFonts w:ascii="Arial" w:cs="Arial" w:eastAsia="Arial" w:hAnsi="Arial"/>
                <w:i/>
                <w:iCs/>
                <w:color w:val="6B7280"/>
                <w:sz w:val="17"/>
                <w:szCs w:val="17"/>
              </w:rPr>
              <w:t xml:space="preserve">This report is for educational and informational purposes only. It does not constitute legal, compliance, or professional advice. Consult qualified counsel for jurisdiction-specific requirements.</w:t>
            </w:r>
          </w:p>
          <w:p>
            <w:r>
              <w:rPr>
                <w:rFonts w:ascii="Arial" w:cs="Arial" w:eastAsia="Arial" w:hAnsi="Arial"/>
                <w:b/>
                <w:bCs/>
                <w:color w:val="1B4F8A"/>
                <w:sz w:val="19"/>
                <w:szCs w:val="19"/>
              </w:rPr>
              <w:t xml:space="preserve">Visit shadowaiguide.com for industry-specific guides, the full statistics database, assessment templates, and governance resources.</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6"/>
      </w:pBdr>
      <w:spacing w:before="60"/>
      <w:jc w:val="center"/>
    </w:pPr>
    <w:r>
      <w:rPr>
        <w:rFonts w:ascii="Arial" w:cs="Arial" w:eastAsia="Arial" w:hAnsi="Arial"/>
        <w:color w:val="6B7280"/>
        <w:sz w:val="16"/>
        <w:szCs w:val="16"/>
      </w:rPr>
      <w:t xml:space="preserve">© 2026 Shadow AI Guide  |  shadowaiguide.com  |  All statistics cited with primary sources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4F8A" w:sz="6"/>
      </w:pBdr>
      <w:spacing w:after="60"/>
    </w:pPr>
    <w:r>
      <w:rPr>
        <w:rFonts w:ascii="Arial" w:cs="Arial" w:eastAsia="Arial" w:hAnsi="Arial"/>
        <w:b/>
        <w:bCs/>
        <w:color w:val="0D1B2A"/>
        <w:sz w:val="17"/>
        <w:szCs w:val="17"/>
      </w:rPr>
      <w:t xml:space="preserve">2026 SHADOW AI STATE OF THE WORKPLACE REPORT</w:t>
    </w:r>
    <w:r>
      <w:rPr>
        <w:rFonts w:ascii="Arial" w:cs="Arial" w:eastAsia="Arial" w:hAnsi="Arial"/>
        <w:color w:val="6B7280"/>
        <w:sz w:val="16"/>
        <w:szCs w:val="16"/>
      </w:rPr>
      <w:t xml:space="preserve">   |   shadowaiguide.com</w:t>
    </w:r>
    <w:r>
      <w:rPr>
        <w:rFonts w:ascii="Arial" w:cs="Arial" w:eastAsia="Arial" w:hAnsi="Arial"/>
        <w:b/>
        <w:bCs/>
        <w:color w:val="B91C1C"/>
        <w:sz w:val="16"/>
        <w:szCs w:val="16"/>
      </w:rPr>
      <w:t xml:space="preserve">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374151"/>
        <w:sz w:val="20"/>
        <w:szCs w:val="20"/>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D1B2A"/>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1B4F8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2026-06-28T00:03:46.167Z</dcterms:created>
  <dcterms:modified xsi:type="dcterms:W3CDTF">2026-06-28T00:03:46.167Z</dcterms:modified>
</cp:coreProperties>
</file>

<file path=docProps/custom.xml><?xml version="1.0" encoding="utf-8"?>
<Properties xmlns="http://schemas.openxmlformats.org/officeDocument/2006/custom-properties" xmlns:vt="http://schemas.openxmlformats.org/officeDocument/2006/docPropsVTypes"/>
</file>